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_rels/document.xml.rels" ContentType="application/vnd.openxmlformats-package.relationships+xml"/>
  <Override PartName="/word/settings.xml" ContentType="application/vnd.openxmlformats-officedocument.wordprocessingml.settings+xml"/>
  <Override PartName="/word/media/image25.jpeg" ContentType="image/jpeg"/>
  <Override PartName="/word/media/image9.jpeg" ContentType="image/jpeg"/>
  <Override PartName="/word/media/image24.jpeg" ContentType="image/jpeg"/>
  <Override PartName="/word/media/image8.jpeg" ContentType="image/jpeg"/>
  <Override PartName="/word/media/image23.jpeg" ContentType="image/jpeg"/>
  <Override PartName="/word/media/image7.jpeg" ContentType="image/jpeg"/>
  <Override PartName="/word/media/image18.jpeg" ContentType="image/jpeg"/>
  <Override PartName="/word/media/image3.jpeg" ContentType="image/jpeg"/>
  <Override PartName="/word/media/image5.jpeg" ContentType="image/jpeg"/>
  <Override PartName="/word/media/image21.jpeg" ContentType="image/jpeg"/>
  <Override PartName="/word/media/image10.jpeg" ContentType="image/jpeg"/>
  <Override PartName="/word/media/image19.jpeg" ContentType="image/jpeg"/>
  <Override PartName="/word/media/image20.jpeg" ContentType="image/jpeg"/>
  <Override PartName="/word/media/image4.jpeg" ContentType="image/jpeg"/>
  <Override PartName="/word/media/image6.jpeg" ContentType="image/jpeg"/>
  <Override PartName="/word/media/image22.jpeg" ContentType="image/jpeg"/>
  <Override PartName="/word/media/image11.jpeg" ContentType="image/jpeg"/>
  <Override PartName="/word/media/image12.jpeg" ContentType="image/jpeg"/>
  <Override PartName="/word/media/image13.jpeg" ContentType="image/jpeg"/>
  <Override PartName="/word/media/image14.jpeg" ContentType="image/jpeg"/>
  <Override PartName="/word/media/image15.jpeg" ContentType="image/jpeg"/>
  <Override PartName="/word/media/image1.jpeg" ContentType="image/jpeg"/>
  <Override PartName="/word/media/image16.jpeg" ContentType="image/jpeg"/>
  <Override PartName="/word/media/image2.jpeg" ContentType="image/jpeg"/>
  <Override PartName="/word/media/image17.jpeg" ContentType="image/jpeg"/>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Heading5"/>
        <w:spacing w:before="120" w:after="60"/>
        <w:jc w:val="left"/>
        <w:rPr/>
      </w:pPr>
      <w:hyperlink w:anchor="toc">
        <w:bookmarkStart w:id="0" w:name="d170561ddef14a.htm"/>
        <w:bookmarkStart w:id="1" w:name="ksd170561ddef14a"/>
        <w:bookmarkEnd w:id="0"/>
        <w:bookmarkEnd w:id="1"/>
        <w:r>
          <w:rPr>
            <w:rStyle w:val="InternetLink"/>
          </w:rPr>
          <w:t>Table of Contents</w:t>
        </w:r>
      </w:hyperlink>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p>
    <w:p>
      <w:pPr>
        <w:pStyle w:val="TextBody"/>
        <w:spacing w:before="60" w:after="0"/>
        <w:jc w:val="center"/>
        <w:rPr>
          <w:rFonts w:ascii="Times New Roman" w:hAnsi="Times New Roman"/>
          <w:b/>
          <w:sz w:val="36"/>
        </w:rPr>
      </w:pPr>
      <w:r>
        <w:rPr>
          <w:rFonts w:ascii="Times New Roman" w:hAnsi="Times New Roman"/>
          <w:b/>
          <w:sz w:val="36"/>
        </w:rPr>
        <w:t xml:space="preserve">UNITED STATES </w:t>
      </w:r>
    </w:p>
    <w:p>
      <w:pPr>
        <w:pStyle w:val="TextBody"/>
        <w:spacing w:before="0" w:after="0"/>
        <w:jc w:val="center"/>
        <w:rPr>
          <w:rFonts w:ascii="Times New Roman" w:hAnsi="Times New Roman"/>
          <w:b/>
          <w:sz w:val="36"/>
        </w:rPr>
      </w:pPr>
      <w:r>
        <w:rPr>
          <w:rFonts w:ascii="Times New Roman" w:hAnsi="Times New Roman"/>
          <w:b/>
          <w:sz w:val="36"/>
        </w:rPr>
        <w:t xml:space="preserve">SECURITIES AND EXCHANGE COMMISSION </w:t>
      </w:r>
    </w:p>
    <w:p>
      <w:pPr>
        <w:pStyle w:val="TextBody"/>
        <w:spacing w:before="0" w:after="0"/>
        <w:jc w:val="center"/>
        <w:rPr>
          <w:rFonts w:ascii="Times New Roman" w:hAnsi="Times New Roman"/>
          <w:b/>
          <w:sz w:val="24"/>
        </w:rPr>
      </w:pPr>
      <w:r>
        <w:rPr>
          <w:rFonts w:ascii="Times New Roman" w:hAnsi="Times New Roman"/>
          <w:b/>
          <w:sz w:val="24"/>
        </w:rPr>
        <w:t xml:space="preserve">Washington, D.C. 20549 </w:t>
      </w:r>
    </w:p>
    <w:p>
      <w:pPr>
        <w:pStyle w:val="TextBody"/>
        <w:spacing w:before="120" w:after="0"/>
        <w:jc w:val="center"/>
        <w:rPr>
          <w:rFonts w:ascii="Times New Roman" w:hAnsi="Times New Roman"/>
          <w:b/>
          <w:sz w:val="36"/>
        </w:rPr>
      </w:pPr>
      <w:r>
        <w:rPr>
          <w:rFonts w:ascii="Times New Roman" w:hAnsi="Times New Roman"/>
          <w:b/>
          <w:sz w:val="36"/>
        </w:rPr>
        <w:t xml:space="preserve">SCHEDULE 14A INFORMATION </w:t>
      </w:r>
    </w:p>
    <w:p>
      <w:pPr>
        <w:pStyle w:val="TextBody"/>
        <w:spacing w:before="120" w:after="0"/>
        <w:jc w:val="center"/>
        <w:rPr>
          <w:rFonts w:ascii="Times New Roman" w:hAnsi="Times New Roman"/>
          <w:b/>
          <w:sz w:val="24"/>
        </w:rPr>
      </w:pPr>
      <w:r>
        <w:rPr>
          <w:rFonts w:ascii="Times New Roman" w:hAnsi="Times New Roman"/>
          <w:b/>
          <w:sz w:val="24"/>
        </w:rPr>
        <w:t xml:space="preserve">Proxy Statement Pursuant to Section 14(a) of the </w:t>
      </w:r>
    </w:p>
    <w:p>
      <w:pPr>
        <w:pStyle w:val="TextBody"/>
        <w:spacing w:before="0" w:after="0"/>
        <w:jc w:val="center"/>
        <w:rPr>
          <w:rFonts w:ascii="Times New Roman" w:hAnsi="Times New Roman"/>
          <w:b/>
          <w:sz w:val="24"/>
        </w:rPr>
      </w:pPr>
      <w:r>
        <w:rPr>
          <w:rFonts w:ascii="Times New Roman" w:hAnsi="Times New Roman"/>
          <w:b/>
          <w:sz w:val="24"/>
        </w:rPr>
        <w:t xml:space="preserve">Securities Exchange Act of 1934 </w:t>
      </w:r>
    </w:p>
    <w:p>
      <w:pPr>
        <w:pStyle w:val="TextBody"/>
        <w:spacing w:before="0" w:after="0"/>
        <w:jc w:val="center"/>
        <w:rPr>
          <w:rFonts w:ascii="Times New Roman" w:hAnsi="Times New Roman"/>
          <w:b/>
          <w:sz w:val="24"/>
        </w:rPr>
      </w:pPr>
      <w:r>
        <w:rPr>
          <w:rFonts w:ascii="Times New Roman" w:hAnsi="Times New Roman"/>
          <w:b/>
          <w:sz w:val="24"/>
        </w:rPr>
        <w:t xml:space="preserve">(Amendment No. ^ ) </w:t>
      </w:r>
    </w:p>
    <w:p>
      <w:pPr>
        <w:pStyle w:val="TextBody"/>
        <w:spacing w:before="120" w:after="0"/>
        <w:rPr>
          <w:rFonts w:ascii="Times New Roman" w:hAnsi="Times New Roman"/>
          <w:sz w:val="20"/>
        </w:rPr>
      </w:pPr>
      <w:r>
        <w:rPr>
          <w:rFonts w:ascii="Times New Roman" w:hAnsi="Times New Roman"/>
          <w:sz w:val="20"/>
        </w:rPr>
        <w:t>Filed by the Registrant  ☒                            Filed by a Party other than the Registrant  ☐</w:t>
      </w:r>
    </w:p>
    <w:p>
      <w:pPr>
        <w:pStyle w:val="TextBody"/>
        <w:spacing w:before="120" w:after="0"/>
        <w:rPr>
          <w:rFonts w:ascii="Times New Roman" w:hAnsi="Times New Roman"/>
          <w:sz w:val="20"/>
        </w:rPr>
      </w:pPr>
      <w:r>
        <w:rPr>
          <w:rFonts w:ascii="Times New Roman" w:hAnsi="Times New Roman"/>
          <w:sz w:val="20"/>
        </w:rPr>
        <w:t xml:space="preserve">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Preliminary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b/>
                <w:sz w:val="20"/>
              </w:rPr>
              <w:t>Confidential, for Use of the Commission Only (as permitted by Rule 14a-6(e)(2))</w:t>
            </w:r>
            <w:r>
              <w:rPr>
                <w:rFonts w:ascii="Times New Roman" w:hAnsi="Times New Roman"/>
                <w:sz w:val="20"/>
              </w:rPr>
              <w:t xml:space="preserve">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Proxy Statement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Definitive Additional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6"/>
        <w:gridCol w:w="9799"/>
      </w:tblGrid>
      <w:tr>
        <w:trPr/>
        <w:tc>
          <w:tcPr>
            <w:tcW w:w="406" w:type="dxa"/>
            <w:tcBorders/>
            <w:shd w:fill="auto" w:val="clear"/>
          </w:tcPr>
          <w:p>
            <w:pPr>
              <w:pStyle w:val="TableContents"/>
              <w:spacing w:before="0" w:after="283"/>
              <w:jc w:val="left"/>
              <w:rPr/>
            </w:pPr>
            <w:r>
              <w:rPr/>
              <w:t>☐</w:t>
            </w:r>
          </w:p>
        </w:tc>
        <w:tc>
          <w:tcPr>
            <w:tcW w:w="979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Soliciting Material under §240.14a-12 </w:t>
            </w:r>
          </w:p>
        </w:tc>
      </w:tr>
    </w:tbl>
    <w:p>
      <w:pPr>
        <w:pStyle w:val="TextBody"/>
        <w:spacing w:before="120" w:after="0"/>
        <w:jc w:val="center"/>
        <w:rPr>
          <w:rFonts w:ascii="Times New Roman" w:hAnsi="Times New Roman"/>
          <w:b/>
          <w:sz w:val="48"/>
        </w:rPr>
      </w:pPr>
      <w:r>
        <w:rPr>
          <w:rFonts w:ascii="Times New Roman" w:hAnsi="Times New Roman"/>
          <w:b/>
          <w:sz w:val="48"/>
        </w:rPr>
        <w:t xml:space="preserve">HURON CONSULTING GROUP INC. </w:t>
      </w:r>
    </w:p>
    <w:p>
      <w:pPr>
        <w:pStyle w:val="TextBody"/>
        <w:spacing w:before="0" w:after="0"/>
        <w:jc w:val="center"/>
        <w:rPr>
          <w:rFonts w:ascii="Times New Roman" w:hAnsi="Times New Roman"/>
          <w:b/>
          <w:sz w:val="20"/>
        </w:rPr>
      </w:pPr>
      <w:r>
        <w:rPr>
          <w:rFonts w:ascii="Times New Roman" w:hAnsi="Times New Roman"/>
          <w:b/>
          <w:sz w:val="20"/>
        </w:rPr>
        <w:t xml:space="preserve">(Name of registrant as specified in its charter) </w:t>
      </w:r>
    </w:p>
    <w:p>
      <w:pPr>
        <w:pStyle w:val="TextBody"/>
        <w:spacing w:before="120" w:after="0"/>
        <w:jc w:val="center"/>
        <w:rPr/>
      </w:pPr>
      <w:r>
        <w:rPr/>
        <w:t>    </w:t>
      </w:r>
      <w:r>
        <w:rPr>
          <w:rFonts w:ascii="Times New Roman" w:hAnsi="Times New Roman"/>
          <w:b/>
          <w:sz w:val="20"/>
        </w:rPr>
        <w:t xml:space="preserve">^     </w:t>
      </w:r>
    </w:p>
    <w:p>
      <w:pPr>
        <w:pStyle w:val="TextBody"/>
        <w:spacing w:before="0" w:after="0"/>
        <w:jc w:val="center"/>
        <w:rPr>
          <w:rFonts w:ascii="Times New Roman" w:hAnsi="Times New Roman"/>
          <w:b/>
          <w:sz w:val="14"/>
        </w:rPr>
      </w:pPr>
      <w:r>
        <w:rPr>
          <w:rFonts w:ascii="Times New Roman" w:hAnsi="Times New Roman"/>
          <w:b/>
          <w:sz w:val="14"/>
        </w:rPr>
        <w:t xml:space="preserve">(Name of person(s) filing proxy statement, if other than the registrant) </w:t>
      </w:r>
    </w:p>
    <w:p>
      <w:pPr>
        <w:pStyle w:val="TextBody"/>
        <w:spacing w:before="120" w:after="0"/>
        <w:rPr>
          <w:rFonts w:ascii="Times New Roman" w:hAnsi="Times New Roman"/>
          <w:sz w:val="20"/>
        </w:rPr>
      </w:pPr>
      <w:r>
        <w:rPr>
          <w:rFonts w:ascii="Times New Roman" w:hAnsi="Times New Roman"/>
          <w:sz w:val="20"/>
        </w:rPr>
        <w:t xml:space="preserve">Payment of Filing Fee (Check the appropriate box):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No fee required.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9798"/>
      </w:tblGrid>
      <w:tr>
        <w:trPr/>
        <w:tc>
          <w:tcPr>
            <w:tcW w:w="407" w:type="dxa"/>
            <w:tcBorders/>
            <w:shd w:fill="auto" w:val="clear"/>
          </w:tcPr>
          <w:p>
            <w:pPr>
              <w:pStyle w:val="TableContents"/>
              <w:spacing w:before="0" w:after="283"/>
              <w:jc w:val="left"/>
              <w:rPr/>
            </w:pPr>
            <w:r>
              <w:rPr/>
              <w:t>☐</w:t>
            </w:r>
          </w:p>
        </w:tc>
        <w:tc>
          <w:tcPr>
            <w:tcW w:w="979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computed on table below per Exchange Act Rules 14a-6(i)(1) and 0-11.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2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Title of each class of securities to which the transaction applies: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2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Aggregate number of securities to which the transaction applies: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Per unit price or other underlying value of the transaction computed pursuant to Exchange Act Rule 0-11 (set forth the amount on which the filing fee is calculated and state how it was determined):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2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Proposed maximum aggregate value of the transaction: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408"/>
        <w:gridCol w:w="101"/>
        <w:gridCol w:w="9289"/>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(5)</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Total fee paid: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Fee paid previously with preliminary materials.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8"/>
        <w:gridCol w:w="9797"/>
      </w:tblGrid>
      <w:tr>
        <w:trPr/>
        <w:tc>
          <w:tcPr>
            <w:tcW w:w="408" w:type="dxa"/>
            <w:tcBorders/>
            <w:shd w:fill="auto" w:val="clear"/>
          </w:tcPr>
          <w:p>
            <w:pPr>
              <w:pStyle w:val="TableContents"/>
              <w:spacing w:before="0" w:after="283"/>
              <w:jc w:val="left"/>
              <w:rPr/>
            </w:pPr>
            <w:r>
              <w:rPr/>
              <w:t>☐</w:t>
            </w:r>
          </w:p>
        </w:tc>
        <w:tc>
          <w:tcPr>
            <w:tcW w:w="979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Check box if any part of the fee is offset as provided by Exchange Act Rule 0-11(a)(2) and identify the filing for which the offsetting fee was paid previously. Identify the previous filing by registration statement number, or the Form or Schedule and the date of its filing. </w:t>
            </w:r>
          </w:p>
        </w:tc>
      </w:tr>
    </w:tbl>
    <w:p>
      <w:pPr>
        <w:pStyle w:val="TextBody"/>
        <w:spacing w:before="0" w:after="0"/>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(1)</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Amount Previously Paid: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508"/>
        <w:gridCol w:w="9290"/>
      </w:tblGrid>
      <w:tr>
        <w:trPr/>
        <w:tc>
          <w:tcPr>
            <w:tcW w:w="407"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(2)</w:t>
            </w:r>
          </w:p>
        </w:tc>
        <w:tc>
          <w:tcPr>
            <w:tcW w:w="929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Form, Schedule or Registration Statement No.: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8"/>
        <w:gridCol w:w="510"/>
        <w:gridCol w:w="9287"/>
      </w:tblGrid>
      <w:tr>
        <w:trPr/>
        <w:tc>
          <w:tcPr>
            <w:tcW w:w="408"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(3)</w:t>
            </w:r>
          </w:p>
        </w:tc>
        <w:tc>
          <w:tcPr>
            <w:tcW w:w="9287"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Filing Party: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tbl>
      <w:tblPr>
        <w:tblW w:w="5000" w:type="pct"/>
        <w:jc w:val="left"/>
        <w:tblInd w:w="0" w:type="dxa"/>
        <w:tblCellMar>
          <w:top w:w="0" w:type="dxa"/>
          <w:left w:w="0" w:type="dxa"/>
          <w:bottom w:w="0" w:type="dxa"/>
          <w:right w:w="0" w:type="dxa"/>
        </w:tblCellMar>
      </w:tblPr>
      <w:tblGrid>
        <w:gridCol w:w="407"/>
        <w:gridCol w:w="510"/>
        <w:gridCol w:w="9288"/>
      </w:tblGrid>
      <w:tr>
        <w:trPr/>
        <w:tc>
          <w:tcPr>
            <w:tcW w:w="407" w:type="dxa"/>
            <w:tcBorders/>
            <w:shd w:fill="auto" w:val="clear"/>
            <w:vAlign w:val="center"/>
          </w:tcPr>
          <w:p>
            <w:pPr>
              <w:pStyle w:val="TableContents"/>
              <w:spacing w:before="0" w:after="283"/>
              <w:rPr/>
            </w:pPr>
            <w:r>
              <w:rPr/>
              <w:t> </w:t>
            </w:r>
          </w:p>
        </w:tc>
        <w:tc>
          <w:tcPr>
            <w:tcW w:w="510"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(4)</w:t>
            </w:r>
          </w:p>
        </w:tc>
        <w:tc>
          <w:tcPr>
            <w:tcW w:w="9288" w:type="dxa"/>
            <w:tcBorders/>
            <w:shd w:fill="auto" w:val="clear"/>
          </w:tcPr>
          <w:p>
            <w:pPr>
              <w:pStyle w:val="TableContents"/>
              <w:spacing w:before="0" w:after="283"/>
              <w:jc w:val="left"/>
              <w:rPr>
                <w:rFonts w:ascii="Times New Roman" w:hAnsi="Times New Roman"/>
                <w:sz w:val="20"/>
              </w:rPr>
            </w:pPr>
            <w:r>
              <w:rPr>
                <w:rFonts w:ascii="Times New Roman" w:hAnsi="Times New Roman"/>
                <w:sz w:val="20"/>
              </w:rPr>
              <w:t xml:space="preserve">Date Filed: </w:t>
            </w:r>
          </w:p>
        </w:tc>
      </w:tr>
    </w:tbl>
    <w:p>
      <w:pPr>
        <w:pStyle w:val="TextBody"/>
        <w:spacing w:before="120" w:after="0"/>
        <w:jc w:val="center"/>
        <w:rPr/>
      </w:pPr>
      <w:r>
        <w:rPr/>
        <w:t>    </w:t>
      </w:r>
      <w:r>
        <w:rPr>
          <w:rFonts w:ascii="Times New Roman" w:hAnsi="Times New Roman"/>
          <w:b/>
          <w:sz w:val="20"/>
        </w:rPr>
        <w:t xml:space="preserve">^     </w:t>
      </w:r>
    </w:p>
    <w:p>
      <w:pPr>
        <w:pStyle w:val="TextBody"/>
        <w:pBdr>
          <w:bottom w:val="single" w:sz="4" w:space="1" w:color="000000"/>
        </w:pBdr>
        <w:spacing w:before="0" w:after="30"/>
        <w:rPr/>
      </w:pPr>
      <w:r>
        <w:rPr/>
        <w:t> </w:t>
      </w:r>
    </w:p>
    <w:p>
      <w:pPr>
        <w:pStyle w:val="TextBody"/>
        <w:spacing w:before="0" w:after="0"/>
        <w:rPr/>
      </w:pPr>
      <w:r>
        <w:rPr/>
        <w:t> </w:t>
      </w:r>
    </w:p>
    <w:p>
      <w:pPr>
        <w:pStyle w:val="TextBody"/>
        <w:pBdr>
          <w:bottom w:val="single" w:sz="4" w:space="1" w:color="000000"/>
        </w:pBdr>
        <w:spacing w:before="0" w:after="0"/>
        <w:rPr/>
      </w:pPr>
      <w:r>
        <w:rPr/>
        <w:t> </w:t>
      </w:r>
    </w:p>
    <w:p>
      <w:pPr>
        <w:pStyle w:val="TextBody"/>
        <w:pBdr>
          <w:bottom w:val="single" w:sz="4" w:space="1" w:color="000000"/>
        </w:pBdr>
        <w:spacing w:lineRule="atLeast" w:line="141" w:before="0" w:after="30"/>
        <w:rPr/>
      </w:pPr>
      <w:r>
        <w:rPr/>
        <w: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220980" cy="438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980" cy="43815"/>
                    </a:xfrm>
                    <a:prstGeom prst="rect">
                      <a:avLst/>
                    </a:prstGeom>
                  </pic:spPr>
                </pic:pic>
              </a:graphicData>
            </a:graphic>
          </wp:inline>
        </w:drawing>
      </w:r>
      <w:r>
        <w:rPr/>
        <w:t xml:space="preserve"> </w:t>
      </w:r>
    </w:p>
    <w:p>
      <w:pPr>
        <w:pStyle w:val="TextBody"/>
        <w:spacing w:before="0" w:after="0"/>
        <w:jc w:val="center"/>
        <w:rPr>
          <w:rFonts w:ascii="arial" w:hAnsi="arial"/>
          <w:sz w:val="18"/>
        </w:rPr>
      </w:pPr>
      <w:r>
        <w:rPr>
          <w:rFonts w:ascii="arial" w:hAnsi="arial"/>
          <w:sz w:val="18"/>
        </w:rPr>
        <w:t xml:space="preserve">550 West Van Buren Street </w:t>
      </w:r>
    </w:p>
    <w:p>
      <w:pPr>
        <w:pStyle w:val="TextBody"/>
        <w:spacing w:before="0" w:after="0"/>
        <w:jc w:val="center"/>
        <w:rPr>
          <w:rFonts w:ascii="arial" w:hAnsi="arial"/>
          <w:sz w:val="18"/>
        </w:rPr>
      </w:pPr>
      <w:r>
        <w:rPr>
          <w:rFonts w:ascii="arial" w:hAnsi="arial"/>
          <w:sz w:val="18"/>
        </w:rPr>
        <w:t xml:space="preserve">Chicago, IL 60607 </w:t>
      </w:r>
    </w:p>
    <w:p>
      <w:pPr>
        <w:pStyle w:val="TextBody"/>
        <w:spacing w:before="220" w:after="0"/>
        <w:jc w:val="center"/>
        <w:rPr>
          <w:rFonts w:ascii="arial" w:hAnsi="arial"/>
          <w:b/>
          <w:color w:val="00548B"/>
          <w:sz w:val="24"/>
        </w:rPr>
      </w:pPr>
      <w:r>
        <w:rPr>
          <w:rFonts w:ascii="arial" w:hAnsi="arial"/>
          <w:b/>
          <w:color w:val="00548B"/>
          <w:sz w:val="24"/>
        </w:rPr>
        <w:t xml:space="preserve">NOTICE OF ANNUAL MEETING OF STOCKHOLDERS </w:t>
      </w:r>
    </w:p>
    <w:p>
      <w:pPr>
        <w:pStyle w:val="TextBody"/>
        <w:spacing w:before="200" w:after="0"/>
        <w:jc w:val="center"/>
        <w:rPr>
          <w:rFonts w:ascii="arial" w:hAnsi="arial"/>
          <w:b/>
          <w:color w:val="00548B"/>
          <w:sz w:val="20"/>
        </w:rPr>
      </w:pPr>
      <w:r>
        <w:rPr>
          <w:rFonts w:ascii="arial" w:hAnsi="arial"/>
          <w:b/>
          <w:color w:val="00548B"/>
          <w:sz w:val="20"/>
        </w:rPr>
        <w:t xml:space="preserve">May 7, 2021 </w:t>
      </w:r>
    </w:p>
    <w:p>
      <w:pPr>
        <w:pStyle w:val="TextBody"/>
        <w:spacing w:before="240" w:after="0"/>
        <w:jc w:val="both"/>
        <w:rPr>
          <w:rFonts w:ascii="arial" w:hAnsi="arial"/>
          <w:sz w:val="18"/>
        </w:rPr>
      </w:pPr>
      <w:r>
        <w:rPr>
          <w:rFonts w:ascii="arial" w:hAnsi="arial"/>
          <w:sz w:val="18"/>
        </w:rPr>
        <w:t xml:space="preserve">The Annual Meeting of Stockholders of Huron Consulting Group Inc. (the Company, Huron, we or us) will be held on May 7, 2021, at 11:00 a.m. Central Time in a virtual meeting format via live audio webcast at www.virtualshareholdermeeting.com/HURN2021, for the following purposes: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04"/>
        <w:gridCol w:w="122"/>
        <w:gridCol w:w="9179"/>
      </w:tblGrid>
      <w:tr>
        <w:trPr/>
        <w:tc>
          <w:tcPr>
            <w:tcW w:w="904"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9179" w:type="dxa"/>
            <w:tcBorders/>
            <w:shd w:fill="auto" w:val="clear"/>
            <w:vAlign w:val="center"/>
          </w:tcPr>
          <w:p>
            <w:pPr>
              <w:pStyle w:val="TableContents"/>
              <w:spacing w:before="0" w:after="283"/>
              <w:rPr>
                <w:sz w:val="4"/>
                <w:szCs w:val="4"/>
              </w:rPr>
            </w:pPr>
            <w:r>
              <w:rPr>
                <w:sz w:val="4"/>
                <w:szCs w:val="4"/>
              </w:rPr>
            </w:r>
          </w:p>
        </w:tc>
      </w:tr>
      <w:tr>
        <w:trPr/>
        <w:tc>
          <w:tcPr>
            <w:tcW w:w="904" w:type="dxa"/>
            <w:tcBorders>
              <w:bottom w:val="single" w:sz="2" w:space="0" w:color="FFFFFF"/>
            </w:tcBorders>
            <w:shd w:fill="CECECE" w:val="clear"/>
            <w:tcMar>
              <w:bottom w:w="28" w:type="dxa"/>
            </w:tcMar>
          </w:tcPr>
          <w:p>
            <w:pPr>
              <w:pStyle w:val="TableContents"/>
              <w:spacing w:before="0" w:after="283"/>
              <w:jc w:val="center"/>
              <w:rPr>
                <w:color w:val="00548B"/>
              </w:rPr>
            </w:pPr>
            <w:r>
              <w:rPr>
                <w:color w:val="00548B"/>
              </w:rPr>
              <w:t>  </w:t>
            </w:r>
            <w:r>
              <w:rPr>
                <w:color w:val="00548B"/>
                <w:sz w:val="48"/>
              </w:rPr>
              <w:t>1  </w:t>
            </w:r>
          </w:p>
        </w:tc>
        <w:tc>
          <w:tcPr>
            <w:tcW w:w="122" w:type="dxa"/>
            <w:tcBorders/>
            <w:shd w:fill="auto" w:val="clear"/>
            <w:vAlign w:val="bottom"/>
          </w:tcPr>
          <w:p>
            <w:pPr>
              <w:pStyle w:val="TableContents"/>
              <w:spacing w:before="0" w:after="283"/>
              <w:rPr/>
            </w:pPr>
            <w:r>
              <w:rPr/>
              <w:t>  </w:t>
            </w:r>
          </w:p>
        </w:tc>
        <w:tc>
          <w:tcPr>
            <w:tcW w:w="9179" w:type="dxa"/>
            <w:tcBorders/>
            <w:shd w:fill="auto" w:val="clear"/>
            <w:vAlign w:val="center"/>
          </w:tcPr>
          <w:p>
            <w:pPr>
              <w:pStyle w:val="TableContents"/>
              <w:spacing w:before="0" w:after="0"/>
              <w:jc w:val="both"/>
              <w:rPr>
                <w:rFonts w:ascii="arial" w:hAnsi="arial"/>
                <w:sz w:val="18"/>
              </w:rPr>
            </w:pPr>
            <w:r>
              <w:rPr>
                <w:rFonts w:ascii="arial" w:hAnsi="arial"/>
                <w:sz w:val="18"/>
              </w:rPr>
              <w:t>To elect to the board of directors the two persons nominated by the board of directors to serve as Class II Directors;</w:t>
            </w:r>
          </w:p>
        </w:tc>
      </w:tr>
      <w:tr>
        <w:trPr/>
        <w:tc>
          <w:tcPr>
            <w:tcW w:w="904" w:type="dxa"/>
            <w:tcBorders>
              <w:bottom w:val="single" w:sz="2" w:space="0" w:color="FFFFFF"/>
            </w:tcBorders>
            <w:shd w:fill="CECECE" w:val="clear"/>
            <w:tcMar>
              <w:bottom w:w="28" w:type="dxa"/>
            </w:tcMar>
          </w:tcPr>
          <w:p>
            <w:pPr>
              <w:pStyle w:val="TableContents"/>
              <w:spacing w:before="0" w:after="283"/>
              <w:jc w:val="center"/>
              <w:rPr>
                <w:color w:val="00548B"/>
              </w:rPr>
            </w:pPr>
            <w:r>
              <w:rPr>
                <w:color w:val="00548B"/>
              </w:rPr>
              <w:t>  </w:t>
            </w:r>
            <w:r>
              <w:rPr>
                <w:color w:val="00548B"/>
                <w:sz w:val="48"/>
              </w:rPr>
              <w:t>2  </w:t>
            </w:r>
          </w:p>
        </w:tc>
        <w:tc>
          <w:tcPr>
            <w:tcW w:w="122" w:type="dxa"/>
            <w:tcBorders/>
            <w:shd w:fill="auto" w:val="clear"/>
            <w:vAlign w:val="bottom"/>
          </w:tcPr>
          <w:p>
            <w:pPr>
              <w:pStyle w:val="TableContents"/>
              <w:spacing w:before="0" w:after="283"/>
              <w:rPr/>
            </w:pPr>
            <w:r>
              <w:rPr/>
              <w:t>  </w:t>
            </w:r>
          </w:p>
        </w:tc>
        <w:tc>
          <w:tcPr>
            <w:tcW w:w="9179" w:type="dxa"/>
            <w:tcBorders/>
            <w:shd w:fill="auto" w:val="clear"/>
            <w:vAlign w:val="center"/>
          </w:tcPr>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To approve an amendment to the Companys Amended and Restated 2012 Omnibus Incentive Plan;</w:t>
            </w:r>
          </w:p>
        </w:tc>
      </w:tr>
      <w:tr>
        <w:trPr/>
        <w:tc>
          <w:tcPr>
            <w:tcW w:w="904" w:type="dxa"/>
            <w:tcBorders>
              <w:bottom w:val="single" w:sz="2" w:space="0" w:color="FFFFFF"/>
            </w:tcBorders>
            <w:shd w:fill="CECECE" w:val="clear"/>
            <w:tcMar>
              <w:bottom w:w="28" w:type="dxa"/>
            </w:tcMar>
          </w:tcPr>
          <w:p>
            <w:pPr>
              <w:pStyle w:val="TableContents"/>
              <w:spacing w:before="0" w:after="283"/>
              <w:jc w:val="center"/>
              <w:rPr>
                <w:color w:val="00548B"/>
              </w:rPr>
            </w:pPr>
            <w:r>
              <w:rPr>
                <w:color w:val="00548B"/>
              </w:rPr>
              <w:t>  </w:t>
            </w:r>
            <w:r>
              <w:rPr>
                <w:color w:val="00548B"/>
                <w:sz w:val="48"/>
              </w:rPr>
              <w:t>3  </w:t>
            </w:r>
          </w:p>
        </w:tc>
        <w:tc>
          <w:tcPr>
            <w:tcW w:w="122" w:type="dxa"/>
            <w:tcBorders/>
            <w:shd w:fill="auto" w:val="clear"/>
            <w:vAlign w:val="bottom"/>
          </w:tcPr>
          <w:p>
            <w:pPr>
              <w:pStyle w:val="TableContents"/>
              <w:spacing w:before="0" w:after="283"/>
              <w:rPr/>
            </w:pPr>
            <w:r>
              <w:rPr/>
              <w:t>  </w:t>
            </w:r>
          </w:p>
        </w:tc>
        <w:tc>
          <w:tcPr>
            <w:tcW w:w="9179" w:type="dxa"/>
            <w:tcBorders/>
            <w:shd w:fill="auto" w:val="clear"/>
            <w:vAlign w:val="center"/>
          </w:tcPr>
          <w:p>
            <w:pPr>
              <w:pStyle w:val="TableContents"/>
              <w:spacing w:before="0" w:after="0"/>
              <w:jc w:val="both"/>
              <w:rPr>
                <w:rFonts w:ascii="arial" w:hAnsi="arial"/>
                <w:sz w:val="18"/>
              </w:rPr>
            </w:pPr>
            <w:r>
              <w:rPr>
                <w:rFonts w:ascii="arial" w:hAnsi="arial"/>
                <w:sz w:val="18"/>
              </w:rPr>
              <w:t>An advisory vote to approve the Companys executive compensation;</w:t>
            </w:r>
          </w:p>
        </w:tc>
      </w:tr>
      <w:tr>
        <w:trPr/>
        <w:tc>
          <w:tcPr>
            <w:tcW w:w="904" w:type="dxa"/>
            <w:tcBorders>
              <w:bottom w:val="single" w:sz="2" w:space="0" w:color="FFFFFF"/>
            </w:tcBorders>
            <w:shd w:fill="CECECE" w:val="clear"/>
            <w:tcMar>
              <w:bottom w:w="28" w:type="dxa"/>
            </w:tcMar>
          </w:tcPr>
          <w:p>
            <w:pPr>
              <w:pStyle w:val="TableContents"/>
              <w:spacing w:before="0" w:after="283"/>
              <w:jc w:val="center"/>
              <w:rPr>
                <w:color w:val="00548B"/>
              </w:rPr>
            </w:pPr>
            <w:r>
              <w:rPr>
                <w:color w:val="00548B"/>
              </w:rPr>
              <w:t>  </w:t>
            </w:r>
            <w:r>
              <w:rPr>
                <w:color w:val="00548B"/>
                <w:sz w:val="48"/>
              </w:rPr>
              <w:t>4  </w:t>
            </w:r>
          </w:p>
        </w:tc>
        <w:tc>
          <w:tcPr>
            <w:tcW w:w="122" w:type="dxa"/>
            <w:tcBorders/>
            <w:shd w:fill="auto" w:val="clear"/>
            <w:vAlign w:val="bottom"/>
          </w:tcPr>
          <w:p>
            <w:pPr>
              <w:pStyle w:val="TableContents"/>
              <w:spacing w:before="0" w:after="283"/>
              <w:rPr/>
            </w:pPr>
            <w:r>
              <w:rPr/>
              <w:t>  </w:t>
            </w:r>
          </w:p>
        </w:tc>
        <w:tc>
          <w:tcPr>
            <w:tcW w:w="9179" w:type="dxa"/>
            <w:tcBorders/>
            <w:shd w:fill="auto" w:val="clear"/>
            <w:vAlign w:val="center"/>
          </w:tcPr>
          <w:p>
            <w:pPr>
              <w:pStyle w:val="TableContents"/>
              <w:spacing w:before="0" w:after="0"/>
              <w:jc w:val="both"/>
              <w:rPr>
                <w:rFonts w:ascii="arial" w:hAnsi="arial"/>
                <w:sz w:val="18"/>
              </w:rPr>
            </w:pPr>
            <w:r>
              <w:rPr>
                <w:rFonts w:ascii="arial" w:hAnsi="arial"/>
                <w:sz w:val="18"/>
              </w:rPr>
              <w:t>To ratify the appointment of PricewaterhouseCoopers LLP as the Companys independent registered public accounting firm for the fiscal year ending December 31, 2021; and</w:t>
            </w:r>
          </w:p>
        </w:tc>
      </w:tr>
      <w:tr>
        <w:trPr/>
        <w:tc>
          <w:tcPr>
            <w:tcW w:w="904" w:type="dxa"/>
            <w:tcBorders>
              <w:bottom w:val="single" w:sz="2" w:space="0" w:color="FFFFFF"/>
            </w:tcBorders>
            <w:shd w:fill="CECECE" w:val="clear"/>
            <w:tcMar>
              <w:bottom w:w="28" w:type="dxa"/>
            </w:tcMar>
          </w:tcPr>
          <w:p>
            <w:pPr>
              <w:pStyle w:val="TableContents"/>
              <w:spacing w:before="0" w:after="283"/>
              <w:jc w:val="center"/>
              <w:rPr>
                <w:color w:val="00548B"/>
              </w:rPr>
            </w:pPr>
            <w:r>
              <w:rPr>
                <w:color w:val="00548B"/>
              </w:rPr>
              <w:t>  </w:t>
            </w:r>
            <w:r>
              <w:rPr>
                <w:color w:val="00548B"/>
                <w:sz w:val="48"/>
              </w:rPr>
              <w:t>5  </w:t>
            </w:r>
          </w:p>
        </w:tc>
        <w:tc>
          <w:tcPr>
            <w:tcW w:w="122" w:type="dxa"/>
            <w:tcBorders/>
            <w:shd w:fill="auto" w:val="clear"/>
            <w:vAlign w:val="bottom"/>
          </w:tcPr>
          <w:p>
            <w:pPr>
              <w:pStyle w:val="TableContents"/>
              <w:spacing w:before="0" w:after="283"/>
              <w:rPr/>
            </w:pPr>
            <w:r>
              <w:rPr/>
              <w:t>  </w:t>
            </w:r>
          </w:p>
        </w:tc>
        <w:tc>
          <w:tcPr>
            <w:tcW w:w="9179" w:type="dxa"/>
            <w:tcBorders/>
            <w:shd w:fill="auto" w:val="clear"/>
            <w:vAlign w:val="center"/>
          </w:tcPr>
          <w:p>
            <w:pPr>
              <w:pStyle w:val="TableContents"/>
              <w:spacing w:before="0" w:after="0"/>
              <w:jc w:val="both"/>
              <w:rPr>
                <w:rFonts w:ascii="arial" w:hAnsi="arial"/>
                <w:sz w:val="18"/>
              </w:rPr>
            </w:pPr>
            <w:r>
              <w:rPr>
                <w:rFonts w:ascii="arial" w:hAnsi="arial"/>
                <w:sz w:val="18"/>
              </w:rPr>
              <w:t>To transact such other business as may properly come before the meeting or any postponement or adjournment thereof.</w:t>
            </w:r>
          </w:p>
        </w:tc>
      </w:tr>
    </w:tbl>
    <w:p>
      <w:pPr>
        <w:pStyle w:val="TextBody"/>
        <w:spacing w:before="200" w:after="0"/>
        <w:jc w:val="both"/>
        <w:rPr>
          <w:rFonts w:ascii="arial" w:hAnsi="arial"/>
          <w:sz w:val="18"/>
        </w:rPr>
      </w:pPr>
      <w:r>
        <w:rPr>
          <w:rFonts w:ascii="arial" w:hAnsi="arial"/>
          <w:sz w:val="18"/>
        </w:rPr>
        <w:t xml:space="preserve">Only stockholders of record at the close of business on March 8, 2021 will be entitled to notice of and to vote at the meeting. </w:t>
      </w:r>
    </w:p>
    <w:p>
      <w:pPr>
        <w:pStyle w:val="TextBody"/>
        <w:spacing w:before="200" w:after="0"/>
        <w:jc w:val="both"/>
        <w:rPr>
          <w:rFonts w:ascii="arial" w:hAnsi="arial"/>
          <w:sz w:val="18"/>
        </w:rPr>
      </w:pPr>
      <w:r>
        <w:rPr>
          <w:rFonts w:ascii="arial" w:hAnsi="arial"/>
          <w:sz w:val="18"/>
        </w:rPr>
        <w:t xml:space="preserve">Your vote is very important, regardless of the number of shares you hold. Whether or not you plan to attend the meeting, please cast your vote, as instructed in the Notice of Internet Availability of Proxy Materials or proxy card, over the Internet, as promptly as possible. If you received only a Notice of Internet Availability of Proxy Materials in the mail or by electronic mail, you may also request a paper proxy card to submit your vote by mail, if you prefer. However, we encourage you to vote over the Internet because it is convenient and will save printing costs and postage fees, as well as natural resources. </w:t>
      </w:r>
    </w:p>
    <w:p>
      <w:pPr>
        <w:pStyle w:val="TextBody"/>
        <w:spacing w:before="200" w:after="0"/>
        <w:jc w:val="both"/>
        <w:rPr>
          <w:rFonts w:ascii="arial" w:hAnsi="arial"/>
          <w:sz w:val="18"/>
        </w:rPr>
      </w:pPr>
      <w:r>
        <w:rPr>
          <w:rFonts w:ascii="arial" w:hAnsi="arial"/>
          <w:sz w:val="18"/>
        </w:rPr>
        <w:t xml:space="preserve">We will hold our annual meeting via live audio webcast because of the continuing public health impact of the COVID-19 pandemic. You will not be able to attend in person. If we determine that in-person attendance is safe and practical for our Annual Meeting, then we will announce our decision and post additional information on our Investor Relations website at https://ir.huronconsultinggroup.com. Please check this website in advance of the Annual Meeting date. </w:t>
      </w:r>
    </w:p>
    <w:p>
      <w:pPr>
        <w:pStyle w:val="TextBody"/>
        <w:spacing w:before="240" w:after="0"/>
        <w:jc w:val="both"/>
        <w:rPr>
          <w:rFonts w:ascii="arial" w:hAnsi="arial"/>
          <w:sz w:val="18"/>
        </w:rPr>
      </w:pPr>
      <w:r>
        <w:rPr>
          <w:rFonts w:ascii="arial" w:hAnsi="arial"/>
          <w:sz w:val="18"/>
        </w:rPr>
        <w:t xml:space="preserve">By Order of the Board of Directors </w:t>
      </w:r>
    </w:p>
    <w:p>
      <w:pPr>
        <w:pStyle w:val="TextBody"/>
        <w:spacing w:before="0" w:after="0"/>
        <w:jc w:val="left"/>
        <w:rPr/>
      </w:pPr>
      <w:r>
        <w:rPr/>
        <w:t> </w:t>
      </w:r>
    </w:p>
    <w:p>
      <w:pPr>
        <w:pStyle w:val="TextBody"/>
        <w:spacing w:before="0" w:after="0"/>
        <w:jc w:val="both"/>
        <w:rPr/>
      </w:pPr>
      <w:r>
        <w:rPr/>
        <w:drawing>
          <wp:inline distT="0" distB="0" distL="0" distR="0">
            <wp:extent cx="151765" cy="342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51765" cy="34290"/>
                    </a:xfrm>
                    <a:prstGeom prst="rect">
                      <a:avLst/>
                    </a:prstGeom>
                  </pic:spPr>
                </pic:pic>
              </a:graphicData>
            </a:graphic>
          </wp:inline>
        </w:drawing>
      </w:r>
      <w:r>
        <w:rPr/>
        <w:t xml:space="preserve"> </w:t>
      </w:r>
    </w:p>
    <w:p>
      <w:pPr>
        <w:pStyle w:val="TextBody"/>
        <w:spacing w:before="0" w:after="0"/>
        <w:jc w:val="both"/>
        <w:rPr>
          <w:rFonts w:ascii="arial" w:hAnsi="arial"/>
          <w:sz w:val="18"/>
        </w:rPr>
      </w:pPr>
      <w:r>
        <w:rPr>
          <w:rFonts w:ascii="arial" w:hAnsi="arial"/>
          <w:sz w:val="18"/>
        </w:rPr>
        <w:t xml:space="preserve">Ernest W. Torain, Jr. </w:t>
      </w:r>
    </w:p>
    <w:p>
      <w:pPr>
        <w:pStyle w:val="TextBody"/>
        <w:spacing w:before="0" w:after="0"/>
        <w:jc w:val="both"/>
        <w:rPr>
          <w:rFonts w:ascii="arial" w:hAnsi="arial"/>
          <w:sz w:val="18"/>
        </w:rPr>
      </w:pPr>
      <w:r>
        <w:rPr>
          <w:rFonts w:ascii="arial" w:hAnsi="arial"/>
          <w:i/>
          <w:sz w:val="18"/>
        </w:rPr>
        <w:t>Executive Vice President, General</w:t>
      </w:r>
      <w:r>
        <w:rPr>
          <w:rFonts w:ascii="arial" w:hAnsi="arial"/>
          <w:sz w:val="18"/>
        </w:rPr>
        <w:t xml:space="preserve"> </w:t>
      </w:r>
    </w:p>
    <w:p>
      <w:pPr>
        <w:pStyle w:val="TextBody"/>
        <w:spacing w:before="0" w:after="0"/>
        <w:jc w:val="both"/>
        <w:rPr>
          <w:rFonts w:ascii="arial" w:hAnsi="arial"/>
          <w:sz w:val="18"/>
        </w:rPr>
      </w:pPr>
      <w:r>
        <w:rPr>
          <w:rFonts w:ascii="arial" w:hAnsi="arial"/>
          <w:i/>
          <w:sz w:val="18"/>
        </w:rPr>
        <w:t>Counsel and Corporate Secretary</w:t>
      </w:r>
      <w:r>
        <w:rPr>
          <w:rFonts w:ascii="arial" w:hAnsi="arial"/>
          <w:sz w:val="18"/>
        </w:rPr>
        <w:t xml:space="preserve"> </w:t>
      </w:r>
    </w:p>
    <w:p>
      <w:pPr>
        <w:pStyle w:val="TextBody"/>
        <w:spacing w:before="200" w:after="0"/>
        <w:jc w:val="both"/>
        <w:rPr>
          <w:rFonts w:ascii="arial" w:hAnsi="arial"/>
          <w:sz w:val="18"/>
        </w:rPr>
      </w:pPr>
      <w:r>
        <w:rPr>
          <w:rFonts w:ascii="arial" w:hAnsi="arial"/>
          <w:sz w:val="18"/>
        </w:rPr>
        <w:t xml:space="preserve">Chicago, Illinois </w:t>
      </w:r>
    </w:p>
    <w:p>
      <w:pPr>
        <w:pStyle w:val="TextBody"/>
        <w:spacing w:before="0" w:after="0"/>
        <w:jc w:val="both"/>
        <w:rPr>
          <w:rFonts w:ascii="arial" w:hAnsi="arial"/>
          <w:sz w:val="18"/>
        </w:rPr>
      </w:pPr>
      <w:r>
        <w:rPr>
          <w:rFonts w:ascii="arial" w:hAnsi="arial"/>
          <w:sz w:val="18"/>
        </w:rPr>
        <w:t xml:space="preserve">March 26, 2021 </w:t>
      </w:r>
    </w:p>
    <w:p>
      <w:pPr>
        <w:pStyle w:val="TextBody"/>
        <w:spacing w:before="0" w:after="0"/>
        <w:jc w:val="left"/>
        <w:rPr/>
      </w:pPr>
      <w:r>
        <w:rPr/>
        <w:t> </w:t>
      </w:r>
    </w:p>
    <w:tbl>
      <w:tblPr>
        <w:tblW w:w="5000" w:type="pct"/>
        <w:jc w:val="center"/>
        <w:tblInd w:w="0" w:type="dxa"/>
        <w:shd w:fill="CCCCCC" w:val="clear"/>
        <w:tblCellMar>
          <w:top w:w="0" w:type="dxa"/>
          <w:left w:w="0" w:type="dxa"/>
          <w:bottom w:w="0" w:type="dxa"/>
          <w:right w:w="0" w:type="dxa"/>
        </w:tblCellMar>
      </w:tblPr>
      <w:tblGrid>
        <w:gridCol w:w="10205"/>
      </w:tblGrid>
      <w:tr>
        <w:trPr/>
        <w:tc>
          <w:tcPr>
            <w:tcW w:w="10205" w:type="dxa"/>
            <w:tcBorders/>
            <w:shd w:fill="CCCCCC" w:val="clear"/>
            <w:vAlign w:val="center"/>
          </w:tcPr>
          <w:p>
            <w:pPr>
              <w:pStyle w:val="TableContents"/>
              <w:spacing w:before="0" w:after="283"/>
              <w:rPr>
                <w:sz w:val="4"/>
                <w:szCs w:val="4"/>
              </w:rPr>
            </w:pPr>
            <w:r>
              <w:rPr>
                <w:sz w:val="4"/>
                <w:szCs w:val="4"/>
              </w:rPr>
            </w:r>
          </w:p>
        </w:tc>
      </w:tr>
      <w:tr>
        <w:trPr/>
        <w:tc>
          <w:tcPr>
            <w:tcW w:w="10205" w:type="dxa"/>
            <w:tcBorders/>
            <w:shd w:fill="CCCCCC" w:val="clear"/>
          </w:tcPr>
          <w:p>
            <w:pPr>
              <w:pStyle w:val="TableContents"/>
              <w:spacing w:before="0" w:after="0"/>
              <w:rPr/>
            </w:pPr>
            <w:r>
              <w:rPr/>
              <w:t> </w:t>
            </w:r>
          </w:p>
          <w:p>
            <w:pPr>
              <w:pStyle w:val="TableContents"/>
              <w:spacing w:before="0" w:after="0"/>
              <w:jc w:val="center"/>
              <w:rPr>
                <w:rFonts w:ascii="arial" w:hAnsi="arial"/>
                <w:b/>
                <w:color w:val="00548B"/>
                <w:sz w:val="18"/>
              </w:rPr>
            </w:pPr>
            <w:r>
              <w:rPr>
                <w:rFonts w:ascii="arial" w:hAnsi="arial"/>
                <w:b/>
                <w:color w:val="00548B"/>
                <w:sz w:val="18"/>
              </w:rPr>
              <w:t>Important Notice Regarding the Availability of</w:t>
            </w:r>
          </w:p>
          <w:p>
            <w:pPr>
              <w:pStyle w:val="TableContents"/>
              <w:spacing w:before="0" w:after="0"/>
              <w:jc w:val="center"/>
              <w:rPr>
                <w:rFonts w:ascii="arial" w:hAnsi="arial"/>
                <w:b/>
                <w:color w:val="00548B"/>
                <w:sz w:val="18"/>
              </w:rPr>
            </w:pPr>
            <w:r>
              <w:rPr>
                <w:rFonts w:ascii="arial" w:hAnsi="arial"/>
                <w:b/>
                <w:color w:val="00548B"/>
                <w:sz w:val="18"/>
              </w:rPr>
              <w:t>Proxy Materials for the Stockholder Meeting to be</w:t>
            </w:r>
          </w:p>
          <w:p>
            <w:pPr>
              <w:pStyle w:val="TableContents"/>
              <w:spacing w:before="0" w:after="0"/>
              <w:jc w:val="center"/>
              <w:rPr>
                <w:rFonts w:ascii="arial" w:hAnsi="arial"/>
                <w:b/>
                <w:color w:val="00548B"/>
                <w:sz w:val="18"/>
              </w:rPr>
            </w:pPr>
            <w:r>
              <w:rPr>
                <w:rFonts w:ascii="arial" w:hAnsi="arial"/>
                <w:b/>
                <w:color w:val="00548B"/>
                <w:sz w:val="18"/>
              </w:rPr>
              <w:t>Held on May 7, 2021</w:t>
            </w:r>
          </w:p>
          <w:p>
            <w:pPr>
              <w:pStyle w:val="TableContents"/>
              <w:spacing w:before="0" w:after="0"/>
              <w:jc w:val="left"/>
              <w:rPr/>
            </w:pPr>
            <w:r>
              <w:rPr/>
              <w:t> </w:t>
            </w:r>
          </w:p>
          <w:p>
            <w:pPr>
              <w:pStyle w:val="TableContents"/>
              <w:spacing w:before="0" w:after="0"/>
              <w:jc w:val="center"/>
              <w:rPr>
                <w:rFonts w:ascii="arial" w:hAnsi="arial"/>
                <w:b/>
                <w:color w:val="00548B"/>
                <w:sz w:val="18"/>
              </w:rPr>
            </w:pPr>
            <w:r>
              <w:rPr>
                <w:rFonts w:ascii="arial" w:hAnsi="arial"/>
                <w:b/>
                <w:color w:val="00548B"/>
                <w:sz w:val="18"/>
              </w:rPr>
              <w:t>The Proxy Statement and Annual Report to Stockholders are</w:t>
            </w:r>
          </w:p>
          <w:p>
            <w:pPr>
              <w:pStyle w:val="TableContents"/>
              <w:spacing w:before="0" w:after="0"/>
              <w:jc w:val="center"/>
              <w:rPr>
                <w:rFonts w:ascii="arial" w:hAnsi="arial"/>
                <w:color w:val="00548B"/>
                <w:sz w:val="18"/>
              </w:rPr>
            </w:pPr>
            <w:r>
              <w:rPr>
                <w:rFonts w:ascii="arial" w:hAnsi="arial"/>
                <w:b/>
                <w:color w:val="00548B"/>
                <w:sz w:val="18"/>
              </w:rPr>
              <w:t xml:space="preserve">available at </w:t>
            </w:r>
            <w:r>
              <w:rPr>
                <w:rFonts w:ascii="arial" w:hAnsi="arial"/>
                <w:b/>
                <w:i/>
                <w:color w:val="00548B"/>
                <w:sz w:val="18"/>
              </w:rPr>
              <w:t>www.proxyvote.com</w:t>
            </w:r>
          </w:p>
          <w:p>
            <w:pPr>
              <w:pStyle w:val="TableContents"/>
              <w:spacing w:before="0" w:after="20"/>
              <w:jc w:val="left"/>
              <w:rPr/>
            </w:pPr>
            <w:r>
              <w:rPr/>
              <w:t> </w:t>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220980" cy="4381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220980" cy="43815"/>
                    </a:xfrm>
                    <a:prstGeom prst="rect">
                      <a:avLst/>
                    </a:prstGeom>
                  </pic:spPr>
                </pic:pic>
              </a:graphicData>
            </a:graphic>
          </wp:inline>
        </w:drawing>
      </w:r>
      <w:r>
        <w:rPr/>
        <w:t xml:space="preserve"> </w:t>
      </w:r>
    </w:p>
    <w:p>
      <w:pPr>
        <w:pStyle w:val="TextBody"/>
        <w:spacing w:before="240" w:after="0"/>
        <w:jc w:val="center"/>
        <w:rPr>
          <w:rFonts w:ascii="arial" w:hAnsi="arial"/>
          <w:color w:val="00548B"/>
          <w:sz w:val="20"/>
        </w:rPr>
      </w:pPr>
      <w:r>
        <w:rPr>
          <w:rFonts w:ascii="arial" w:hAnsi="arial"/>
          <w:b/>
          <w:color w:val="00548B"/>
          <w:sz w:val="20"/>
        </w:rPr>
        <w:t>Letter from the Independent Directors of the Board</w:t>
      </w:r>
      <w:r>
        <w:rPr>
          <w:rFonts w:ascii="arial" w:hAnsi="arial"/>
          <w:color w:val="00548B"/>
          <w:sz w:val="20"/>
        </w:rPr>
        <w:t xml:space="preserve"> </w:t>
      </w:r>
    </w:p>
    <w:p>
      <w:pPr>
        <w:pStyle w:val="TextBody"/>
        <w:spacing w:before="240" w:after="0"/>
        <w:jc w:val="both"/>
        <w:rPr>
          <w:rFonts w:ascii="arial" w:hAnsi="arial"/>
          <w:sz w:val="18"/>
        </w:rPr>
      </w:pPr>
      <w:r>
        <w:rPr>
          <w:rFonts w:ascii="arial" w:hAnsi="arial"/>
          <w:sz w:val="18"/>
        </w:rPr>
        <w:t xml:space="preserve">Dear Fellow Shareholders: </w:t>
      </w:r>
    </w:p>
    <w:p>
      <w:pPr>
        <w:pStyle w:val="TextBody"/>
        <w:spacing w:before="240" w:after="0"/>
        <w:jc w:val="both"/>
        <w:rPr>
          <w:rFonts w:ascii="arial" w:hAnsi="arial"/>
          <w:sz w:val="18"/>
        </w:rPr>
      </w:pPr>
      <w:r>
        <w:rPr>
          <w:rFonts w:ascii="arial" w:hAnsi="arial"/>
          <w:sz w:val="18"/>
        </w:rPr>
        <w:t xml:space="preserve">We are writing to you as the independent members of the Huron board of directors. As fellow shareholders, we are committed to sustaining the alignment between Hurons management compensation programs and the long-term interests of the Company and our shareholders. </w:t>
      </w:r>
    </w:p>
    <w:p>
      <w:pPr>
        <w:pStyle w:val="TextBody"/>
        <w:spacing w:before="200" w:after="0"/>
        <w:jc w:val="both"/>
        <w:rPr>
          <w:rFonts w:ascii="arial" w:hAnsi="arial"/>
          <w:sz w:val="18"/>
        </w:rPr>
      </w:pPr>
      <w:r>
        <w:rPr>
          <w:rFonts w:ascii="arial" w:hAnsi="arial"/>
          <w:sz w:val="18"/>
        </w:rPr>
        <w:t xml:space="preserve">The COVID-19 pandemic and its unprecedented impact created numerous challenges for Huron, our people, our clients and the communities in which we live and work. In 2020, management focused on the immediate issues associated with the global health crisis and the dramatic impact to the economy while continuing to execute our long-term strategy. We believe the significant efforts that were made in 2020 enabled us to successfully navigate the severe economic downturn while positioning Huron for a return to growth as the impacts of the pandemic begin to subside. Certain additional business results are discussed in more detail in the section entitled Executive Compensation in this Proxy Statement. </w:t>
      </w:r>
    </w:p>
    <w:p>
      <w:pPr>
        <w:pStyle w:val="TextBody"/>
        <w:spacing w:before="200" w:after="0"/>
        <w:jc w:val="both"/>
        <w:rPr>
          <w:rFonts w:ascii="arial" w:hAnsi="arial"/>
          <w:sz w:val="18"/>
        </w:rPr>
      </w:pPr>
      <w:r>
        <w:rPr>
          <w:rFonts w:ascii="arial" w:hAnsi="arial"/>
          <w:sz w:val="18"/>
        </w:rPr>
        <w:t xml:space="preserve">As outlined in more detail in the Executive Compensation section in this Proxy Statement, fiscal year 2020 goals for our NEOs were initially set in February 2020, prior to the onset of the COVID-19 pandemic in the United States, at which time the Company had started the year with significant positive momentum as demonstrated by organic growth across all our operating segments. With the onset, continuation and severity of the pandemic, our clients businesses were deeply impacted, which had a direct, negative impact on Hurons 2020 revenues and margin. </w:t>
      </w:r>
    </w:p>
    <w:p>
      <w:pPr>
        <w:pStyle w:val="TextBody"/>
        <w:spacing w:before="200" w:after="0"/>
        <w:jc w:val="both"/>
        <w:rPr>
          <w:rFonts w:ascii="arial" w:hAnsi="arial"/>
          <w:sz w:val="18"/>
        </w:rPr>
      </w:pPr>
      <w:r>
        <w:rPr>
          <w:rFonts w:ascii="arial" w:hAnsi="arial"/>
          <w:sz w:val="18"/>
        </w:rPr>
        <w:t xml:space="preserve">We retained the financial and operational metrics for NEOs and maintained our Annual Incentive Plan and Long-Term Incentive Plan designs, where a substantial portion of our NEO compensation is at risk. To reflect the realities of the highly uncertain environment we experienced in 2020, we reprioritized strategic measures that our Compensation Committee determined were critical to leading the Company through the pandemic while also advancing our multi-year Company strategy. In addition, to acknowledge the extraordinary performance of our NEOs in steering the Company through the pandemic, the Compensation Committee took a thoughtful and holistic approach that aligned their annual incentive closer to the overall corporate funding level of 65%. After rigorous consideration, we determined that this approach appropriately acknowledges the NEOs contribution to our Companys corporate and client-facing results. </w:t>
      </w:r>
    </w:p>
    <w:p>
      <w:pPr>
        <w:pStyle w:val="TextBody"/>
        <w:spacing w:before="200" w:after="0"/>
        <w:jc w:val="both"/>
        <w:rPr>
          <w:rFonts w:ascii="arial" w:hAnsi="arial"/>
          <w:sz w:val="18"/>
        </w:rPr>
      </w:pPr>
      <w:r>
        <w:rPr>
          <w:rFonts w:ascii="arial" w:hAnsi="arial"/>
          <w:sz w:val="18"/>
        </w:rPr>
        <w:t xml:space="preserve">Throughout 2020, we also engaged with shareholders and other key constituents as part of our ongoing outreach efforts. These conversations focused on the evolution of the Companys strategy and the impacts of the global pandemic; our compensation philosophy; our ongoing refresh process for the board of directors, including how we will continue to foster diversity among board members; and environmental, social and governance matters (for additional information on Hurons commitment to a more sustainable future, refer to our 2020 Corporate Social Responsibility report, which includes our Sustainability Accounting Standards Board (SASB) index, and is available on the investor relations section of our website at: https://ir.huronconsultinggroup.com/corporatesustainability. </w:t>
      </w:r>
    </w:p>
    <w:p>
      <w:pPr>
        <w:pStyle w:val="TextBody"/>
        <w:spacing w:before="200" w:after="0"/>
        <w:jc w:val="both"/>
        <w:rPr>
          <w:rFonts w:ascii="arial" w:hAnsi="arial"/>
          <w:sz w:val="18"/>
        </w:rPr>
      </w:pPr>
      <w:r>
        <w:rPr>
          <w:rFonts w:ascii="arial" w:hAnsi="arial"/>
          <w:sz w:val="18"/>
        </w:rPr>
        <w:t xml:space="preserve">Our independent Chairman and the chair of the Compensation Committee were made available for consultation with our major shareholders. The feedback received through our shareholder outreach efforts is communicated to and considered by the full board of directors and, where appropriate, informs our decisions and strategy. For example, our current executive compensation program reflects specific feedback that we received during our 2018 and 2019 shareholder outreach efforts. </w:t>
      </w:r>
    </w:p>
    <w:p>
      <w:pPr>
        <w:pStyle w:val="TextBody"/>
        <w:spacing w:before="200" w:after="0"/>
        <w:jc w:val="both"/>
        <w:rPr>
          <w:rFonts w:ascii="arial" w:hAnsi="arial"/>
          <w:sz w:val="18"/>
        </w:rPr>
      </w:pPr>
      <w:r>
        <w:rPr>
          <w:rFonts w:ascii="arial" w:hAnsi="arial"/>
          <w:sz w:val="18"/>
        </w:rPr>
        <w:t xml:space="preserve">At the 2020 Annual Meeting, approximately 92% of votes cast were in support of the named executive officer compensation. We view this strong support of our compensation programs as a reflection of the deep alignment between our executives pay and shareholder value, as well as the strength of the program design changes that we made during 2018 and 2019.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Our Say on Pay Proposal is found in Proposal 3 of this Proxy Statement, and the board recommends that you vote FOR this proposal. We also invite you to consider additional information on our compensation philosophy and decisions in the section entitled Executive Compensation in this Proxy Statement. </w:t>
      </w:r>
    </w:p>
    <w:p>
      <w:pPr>
        <w:pStyle w:val="TextBody"/>
        <w:spacing w:before="200" w:after="0"/>
        <w:jc w:val="both"/>
        <w:rPr>
          <w:rFonts w:ascii="arial" w:hAnsi="arial"/>
          <w:sz w:val="18"/>
        </w:rPr>
      </w:pPr>
      <w:r>
        <w:rPr>
          <w:rFonts w:ascii="arial" w:hAnsi="arial"/>
          <w:sz w:val="18"/>
        </w:rPr>
        <w:t xml:space="preserve">We are also requesting additional shares for our Long-Term Incentive Program. We annually grant a sizable portion of equity to our managing directors. We believe this differentiates Hurons compensation program from our competitors and underscores our pay for performance philosophy by directly aligning our managing directors with Hurons long-term value creation. Approximately 43% of the annual bonus compensation of our practice leaders and client-facing managing directors consists of restricted stock that vests over three or four-years and is awarded based on prior-year performance. An average of 78% of the total equity we granted in the last three years was awarded to our non-NEO managing directors. Our managing directors are critical to developing and maintaining client relationships, generating revenue and driving the overall success of Huron. We use stock both as a retention tool and an incentive to encourage behaviors that will benefit our shareholders and the Company. We ask that you vote in favor of Proposal 2. </w:t>
      </w:r>
    </w:p>
    <w:p>
      <w:pPr>
        <w:pStyle w:val="TextBody"/>
        <w:spacing w:before="200" w:after="0"/>
        <w:jc w:val="both"/>
        <w:rPr>
          <w:rFonts w:ascii="arial" w:hAnsi="arial"/>
          <w:sz w:val="18"/>
        </w:rPr>
      </w:pPr>
      <w:r>
        <w:rPr>
          <w:rFonts w:ascii="arial" w:hAnsi="arial"/>
          <w:sz w:val="18"/>
        </w:rPr>
        <w:t xml:space="preserve">Sincerely,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20"/>
        <w:gridCol w:w="100"/>
        <w:gridCol w:w="23"/>
        <w:gridCol w:w="23"/>
        <w:gridCol w:w="23"/>
        <w:gridCol w:w="99"/>
        <w:gridCol w:w="3323"/>
        <w:gridCol w:w="100"/>
        <w:gridCol w:w="23"/>
        <w:gridCol w:w="23"/>
        <w:gridCol w:w="23"/>
        <w:gridCol w:w="99"/>
        <w:gridCol w:w="3426"/>
      </w:tblGrid>
      <w:tr>
        <w:trPr/>
        <w:tc>
          <w:tcPr>
            <w:tcW w:w="2920"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3323"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sz w:val="4"/>
                <w:szCs w:val="4"/>
              </w:rPr>
            </w:pPr>
            <w:r>
              <w:rPr>
                <w:sz w:val="4"/>
                <w:szCs w:val="4"/>
              </w:rPr>
            </w:r>
          </w:p>
        </w:tc>
        <w:tc>
          <w:tcPr>
            <w:tcW w:w="3426" w:type="dxa"/>
            <w:tcBorders/>
            <w:shd w:fill="auto" w:val="clear"/>
            <w:vAlign w:val="center"/>
          </w:tcPr>
          <w:p>
            <w:pPr>
              <w:pStyle w:val="TableContents"/>
              <w:spacing w:before="0" w:after="283"/>
              <w:rPr>
                <w:sz w:val="4"/>
                <w:szCs w:val="4"/>
              </w:rPr>
            </w:pPr>
            <w:r>
              <w:rPr>
                <w:sz w:val="4"/>
                <w:szCs w:val="4"/>
              </w:rPr>
            </w:r>
          </w:p>
        </w:tc>
      </w:tr>
      <w:tr>
        <w:trPr/>
        <w:tc>
          <w:tcPr>
            <w:tcW w:w="2920" w:type="dxa"/>
            <w:tcBorders/>
            <w:shd w:fill="FFFFFF" w:val="clear"/>
            <w:vAlign w:val="bottom"/>
          </w:tcPr>
          <w:p>
            <w:pPr>
              <w:pStyle w:val="TableContents"/>
              <w:spacing w:before="0" w:after="283"/>
              <w:jc w:val="center"/>
              <w:rPr/>
            </w:pPr>
            <w:r>
              <w:rPr/>
              <w:drawing>
                <wp:inline distT="0" distB="0" distL="0" distR="0">
                  <wp:extent cx="140970" cy="2794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40970" cy="27940"/>
                          </a:xfrm>
                          <a:prstGeom prst="rect">
                            <a:avLst/>
                          </a:prstGeom>
                        </pic:spPr>
                      </pic:pic>
                    </a:graphicData>
                  </a:graphic>
                </wp:inline>
              </w:drawing>
            </w:r>
            <w:r>
              <w:rPr/>
              <w:t xml:space="preserve"> </w:t>
            </w:r>
          </w:p>
        </w:tc>
        <w:tc>
          <w:tcPr>
            <w:tcW w:w="100" w:type="dxa"/>
            <w:tcBorders/>
            <w:shd w:fill="FFFFFF" w:val="clear"/>
            <w:vAlign w:val="bottom"/>
          </w:tcPr>
          <w:p>
            <w:pPr>
              <w:pStyle w:val="TableContents"/>
              <w:spacing w:before="0" w:after="283"/>
              <w:rPr/>
            </w:pPr>
            <w:r>
              <w:rPr/>
              <w:t> </w:t>
            </w:r>
          </w:p>
        </w:tc>
        <w:tc>
          <w:tcPr>
            <w:tcW w:w="23" w:type="dxa"/>
            <w:tcBorders/>
            <w:shd w:fill="FFFFFF" w:val="clear"/>
            <w:vAlign w:val="bottom"/>
          </w:tcPr>
          <w:p>
            <w:pPr>
              <w:pStyle w:val="TableContents"/>
              <w:spacing w:before="0" w:after="283"/>
              <w:rPr>
                <w:sz w:val="4"/>
                <w:szCs w:val="4"/>
              </w:rPr>
            </w:pPr>
            <w:r>
              <w:rPr>
                <w:sz w:val="4"/>
                <w:szCs w:val="4"/>
              </w:rPr>
            </w:r>
          </w:p>
        </w:tc>
        <w:tc>
          <w:tcPr>
            <w:tcW w:w="23" w:type="dxa"/>
            <w:tcBorders/>
            <w:shd w:fill="FFFFFF" w:val="clear"/>
            <w:vAlign w:val="bottom"/>
          </w:tcPr>
          <w:p>
            <w:pPr>
              <w:pStyle w:val="TableContents"/>
              <w:spacing w:before="0" w:after="283"/>
              <w:rPr>
                <w:sz w:val="4"/>
                <w:szCs w:val="4"/>
              </w:rPr>
            </w:pPr>
            <w:r>
              <w:rPr>
                <w:sz w:val="4"/>
                <w:szCs w:val="4"/>
              </w:rPr>
            </w:r>
          </w:p>
        </w:tc>
        <w:tc>
          <w:tcPr>
            <w:tcW w:w="23" w:type="dxa"/>
            <w:tcBorders/>
            <w:shd w:fill="FFFFFF" w:val="clear"/>
            <w:vAlign w:val="bottom"/>
          </w:tcPr>
          <w:p>
            <w:pPr>
              <w:pStyle w:val="TableContents"/>
              <w:spacing w:before="0" w:after="283"/>
              <w:rPr>
                <w:sz w:val="4"/>
                <w:szCs w:val="4"/>
              </w:rPr>
            </w:pPr>
            <w:r>
              <w:rPr>
                <w:sz w:val="4"/>
                <w:szCs w:val="4"/>
              </w:rPr>
            </w:r>
          </w:p>
        </w:tc>
        <w:tc>
          <w:tcPr>
            <w:tcW w:w="99" w:type="dxa"/>
            <w:tcBorders/>
            <w:shd w:fill="FFFFFF" w:val="clear"/>
            <w:vAlign w:val="bottom"/>
          </w:tcPr>
          <w:p>
            <w:pPr>
              <w:pStyle w:val="TableContents"/>
              <w:spacing w:before="0" w:after="283"/>
              <w:rPr/>
            </w:pPr>
            <w:r>
              <w:rPr/>
              <w:t> </w:t>
            </w:r>
          </w:p>
        </w:tc>
        <w:tc>
          <w:tcPr>
            <w:tcW w:w="3323" w:type="dxa"/>
            <w:tcBorders/>
            <w:shd w:fill="FFFFFF" w:val="clear"/>
            <w:vAlign w:val="bottom"/>
          </w:tcPr>
          <w:p>
            <w:pPr>
              <w:pStyle w:val="TableContents"/>
              <w:spacing w:before="0" w:after="283"/>
              <w:jc w:val="center"/>
              <w:rPr/>
            </w:pPr>
            <w:r>
              <w:rPr/>
              <w:drawing>
                <wp:inline distT="0" distB="0" distL="0" distR="0">
                  <wp:extent cx="155575" cy="1778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55575" cy="17780"/>
                          </a:xfrm>
                          <a:prstGeom prst="rect">
                            <a:avLst/>
                          </a:prstGeom>
                        </pic:spPr>
                      </pic:pic>
                    </a:graphicData>
                  </a:graphic>
                </wp:inline>
              </w:drawing>
            </w:r>
            <w:r>
              <w:rPr/>
              <w:t xml:space="preserve"> </w:t>
            </w:r>
          </w:p>
        </w:tc>
        <w:tc>
          <w:tcPr>
            <w:tcW w:w="100" w:type="dxa"/>
            <w:tcBorders/>
            <w:shd w:fill="FFFFFF" w:val="clear"/>
            <w:vAlign w:val="bottom"/>
          </w:tcPr>
          <w:p>
            <w:pPr>
              <w:pStyle w:val="TableContents"/>
              <w:spacing w:before="0" w:after="283"/>
              <w:rPr/>
            </w:pPr>
            <w:r>
              <w:rPr/>
              <w:t> </w:t>
            </w:r>
          </w:p>
        </w:tc>
        <w:tc>
          <w:tcPr>
            <w:tcW w:w="23" w:type="dxa"/>
            <w:tcBorders/>
            <w:shd w:fill="FFFFFF" w:val="clear"/>
            <w:vAlign w:val="bottom"/>
          </w:tcPr>
          <w:p>
            <w:pPr>
              <w:pStyle w:val="TableContents"/>
              <w:spacing w:before="0" w:after="283"/>
              <w:rPr>
                <w:sz w:val="4"/>
                <w:szCs w:val="4"/>
              </w:rPr>
            </w:pPr>
            <w:r>
              <w:rPr>
                <w:sz w:val="4"/>
                <w:szCs w:val="4"/>
              </w:rPr>
            </w:r>
          </w:p>
        </w:tc>
        <w:tc>
          <w:tcPr>
            <w:tcW w:w="23" w:type="dxa"/>
            <w:tcBorders/>
            <w:shd w:fill="FFFFFF" w:val="clear"/>
            <w:vAlign w:val="bottom"/>
          </w:tcPr>
          <w:p>
            <w:pPr>
              <w:pStyle w:val="TableContents"/>
              <w:spacing w:before="0" w:after="283"/>
              <w:rPr>
                <w:sz w:val="4"/>
                <w:szCs w:val="4"/>
              </w:rPr>
            </w:pPr>
            <w:r>
              <w:rPr>
                <w:sz w:val="4"/>
                <w:szCs w:val="4"/>
              </w:rPr>
            </w:r>
          </w:p>
        </w:tc>
        <w:tc>
          <w:tcPr>
            <w:tcW w:w="23" w:type="dxa"/>
            <w:tcBorders/>
            <w:shd w:fill="FFFFFF" w:val="clear"/>
            <w:vAlign w:val="bottom"/>
          </w:tcPr>
          <w:p>
            <w:pPr>
              <w:pStyle w:val="TableContents"/>
              <w:spacing w:before="0" w:after="283"/>
              <w:rPr>
                <w:sz w:val="4"/>
                <w:szCs w:val="4"/>
              </w:rPr>
            </w:pPr>
            <w:r>
              <w:rPr>
                <w:sz w:val="4"/>
                <w:szCs w:val="4"/>
              </w:rPr>
            </w:r>
          </w:p>
        </w:tc>
        <w:tc>
          <w:tcPr>
            <w:tcW w:w="99" w:type="dxa"/>
            <w:tcBorders/>
            <w:shd w:fill="FFFFFF" w:val="clear"/>
            <w:vAlign w:val="bottom"/>
          </w:tcPr>
          <w:p>
            <w:pPr>
              <w:pStyle w:val="TableContents"/>
              <w:spacing w:before="0" w:after="283"/>
              <w:rPr/>
            </w:pPr>
            <w:r>
              <w:rPr/>
              <w:t> </w:t>
            </w:r>
          </w:p>
        </w:tc>
        <w:tc>
          <w:tcPr>
            <w:tcW w:w="3426" w:type="dxa"/>
            <w:tcBorders/>
            <w:shd w:fill="FFFFFF" w:val="clear"/>
            <w:vAlign w:val="bottom"/>
          </w:tcPr>
          <w:p>
            <w:pPr>
              <w:pStyle w:val="TableContents"/>
              <w:spacing w:before="0" w:after="283"/>
              <w:jc w:val="center"/>
              <w:rPr/>
            </w:pPr>
            <w:r>
              <w:rPr/>
              <w:drawing>
                <wp:inline distT="0" distB="0" distL="0" distR="0">
                  <wp:extent cx="154940" cy="4191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54940" cy="41910"/>
                          </a:xfrm>
                          <a:prstGeom prst="rect">
                            <a:avLst/>
                          </a:prstGeom>
                        </pic:spPr>
                      </pic:pic>
                    </a:graphicData>
                  </a:graphic>
                </wp:inline>
              </w:drawing>
            </w:r>
            <w:r>
              <w:rPr/>
              <w:t xml:space="preserve"> </w:t>
            </w:r>
          </w:p>
        </w:tc>
      </w:tr>
      <w:tr>
        <w:trPr/>
        <w:tc>
          <w:tcPr>
            <w:tcW w:w="2920" w:type="dxa"/>
            <w:tcBorders>
              <w:top w:val="single" w:sz="2" w:space="0" w:color="00548B"/>
            </w:tcBorders>
            <w:shd w:fill="auto" w:val="clear"/>
            <w:tcMar>
              <w:top w:w="28" w:type="dxa"/>
            </w:tcMar>
          </w:tcPr>
          <w:p>
            <w:pPr>
              <w:pStyle w:val="TableContents"/>
              <w:spacing w:before="0" w:after="283"/>
              <w:jc w:val="center"/>
              <w:rPr/>
            </w:pPr>
            <w:r>
              <w:rPr/>
              <w:t>H. Eugene Lockhart</w:t>
            </w:r>
          </w:p>
        </w:tc>
        <w:tc>
          <w:tcPr>
            <w:tcW w:w="10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99" w:type="dxa"/>
            <w:tcBorders>
              <w:top w:val="single" w:sz="2" w:space="0" w:color="00548B"/>
            </w:tcBorders>
            <w:shd w:fill="auto" w:val="clear"/>
            <w:tcMar>
              <w:top w:w="28" w:type="dxa"/>
            </w:tcMar>
            <w:vAlign w:val="bottom"/>
          </w:tcPr>
          <w:p>
            <w:pPr>
              <w:pStyle w:val="TableContents"/>
              <w:spacing w:before="0" w:after="283"/>
              <w:rPr/>
            </w:pPr>
            <w:r>
              <w:rPr/>
              <w:t> </w:t>
            </w:r>
          </w:p>
        </w:tc>
        <w:tc>
          <w:tcPr>
            <w:tcW w:w="3323" w:type="dxa"/>
            <w:tcBorders>
              <w:top w:val="single" w:sz="2" w:space="0" w:color="00548B"/>
            </w:tcBorders>
            <w:shd w:fill="auto" w:val="clear"/>
            <w:tcMar>
              <w:top w:w="28" w:type="dxa"/>
            </w:tcMar>
          </w:tcPr>
          <w:p>
            <w:pPr>
              <w:pStyle w:val="TableContents"/>
              <w:spacing w:before="0" w:after="283"/>
              <w:jc w:val="center"/>
              <w:rPr/>
            </w:pPr>
            <w:r>
              <w:rPr/>
              <w:t>Hugh E. Sawyer</w:t>
            </w:r>
          </w:p>
        </w:tc>
        <w:tc>
          <w:tcPr>
            <w:tcW w:w="10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99" w:type="dxa"/>
            <w:tcBorders>
              <w:top w:val="single" w:sz="2" w:space="0" w:color="00548B"/>
            </w:tcBorders>
            <w:shd w:fill="auto" w:val="clear"/>
            <w:tcMar>
              <w:top w:w="28" w:type="dxa"/>
            </w:tcMar>
            <w:vAlign w:val="bottom"/>
          </w:tcPr>
          <w:p>
            <w:pPr>
              <w:pStyle w:val="TableContents"/>
              <w:spacing w:before="0" w:after="283"/>
              <w:rPr/>
            </w:pPr>
            <w:r>
              <w:rPr/>
              <w:t> </w:t>
            </w:r>
          </w:p>
        </w:tc>
        <w:tc>
          <w:tcPr>
            <w:tcW w:w="3426" w:type="dxa"/>
            <w:tcBorders>
              <w:top w:val="single" w:sz="2" w:space="0" w:color="00548B"/>
            </w:tcBorders>
            <w:shd w:fill="auto" w:val="clear"/>
            <w:tcMar>
              <w:top w:w="28" w:type="dxa"/>
            </w:tcMar>
          </w:tcPr>
          <w:p>
            <w:pPr>
              <w:pStyle w:val="TableContents"/>
              <w:spacing w:before="0" w:after="283"/>
              <w:jc w:val="center"/>
              <w:rPr/>
            </w:pPr>
            <w:r>
              <w:rPr/>
              <w:t>John McCartney</w:t>
            </w:r>
          </w:p>
        </w:tc>
      </w:tr>
      <w:tr>
        <w:trPr/>
        <w:tc>
          <w:tcPr>
            <w:tcW w:w="2920" w:type="dxa"/>
            <w:tcBorders/>
            <w:shd w:fill="auto" w:val="clear"/>
            <w:vAlign w:val="bottom"/>
          </w:tcPr>
          <w:p>
            <w:pPr>
              <w:pStyle w:val="TableContents"/>
              <w:spacing w:before="0" w:after="0"/>
              <w:rPr/>
            </w:pPr>
            <w:r>
              <w:rPr/>
              <w:t> </w:t>
            </w:r>
          </w:p>
          <w:p>
            <w:pPr>
              <w:pStyle w:val="TableContents"/>
              <w:spacing w:before="0" w:after="20"/>
              <w:jc w:val="center"/>
              <w:rPr/>
            </w:pPr>
            <w:r>
              <w:rPr/>
              <w:drawing>
                <wp:inline distT="0" distB="0" distL="0" distR="0">
                  <wp:extent cx="168275" cy="4953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168275" cy="49530"/>
                          </a:xfrm>
                          <a:prstGeom prst="rect">
                            <a:avLst/>
                          </a:prstGeom>
                        </pic:spPr>
                      </pic:pic>
                    </a:graphicData>
                  </a:graphic>
                </wp:inline>
              </w:drawing>
            </w:r>
            <w:r>
              <w:rPr/>
              <w:t xml:space="preserve"> </w:t>
            </w:r>
          </w:p>
        </w:tc>
        <w:tc>
          <w:tcPr>
            <w:tcW w:w="10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pPr>
            <w:r>
              <w:rPr/>
              <w:t> </w:t>
            </w:r>
          </w:p>
        </w:tc>
        <w:tc>
          <w:tcPr>
            <w:tcW w:w="3323" w:type="dxa"/>
            <w:tcBorders/>
            <w:shd w:fill="auto" w:val="clear"/>
            <w:vAlign w:val="bottom"/>
          </w:tcPr>
          <w:p>
            <w:pPr>
              <w:pStyle w:val="TableContents"/>
              <w:spacing w:before="0" w:after="0"/>
              <w:rPr/>
            </w:pPr>
            <w:r>
              <w:rPr/>
              <w:t> </w:t>
            </w:r>
          </w:p>
          <w:p>
            <w:pPr>
              <w:pStyle w:val="TableContents"/>
              <w:spacing w:before="0" w:after="20"/>
              <w:jc w:val="center"/>
              <w:rPr/>
            </w:pPr>
            <w:r>
              <w:rPr/>
              <w:drawing>
                <wp:inline distT="0" distB="0" distL="0" distR="0">
                  <wp:extent cx="154940" cy="3365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154940" cy="33655"/>
                          </a:xfrm>
                          <a:prstGeom prst="rect">
                            <a:avLst/>
                          </a:prstGeom>
                        </pic:spPr>
                      </pic:pic>
                    </a:graphicData>
                  </a:graphic>
                </wp:inline>
              </w:drawing>
            </w:r>
            <w:r>
              <w:rPr/>
              <w:t xml:space="preserve"> </w:t>
            </w:r>
          </w:p>
        </w:tc>
        <w:tc>
          <w:tcPr>
            <w:tcW w:w="10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pPr>
            <w:r>
              <w:rPr/>
              <w:t> </w:t>
            </w:r>
          </w:p>
        </w:tc>
        <w:tc>
          <w:tcPr>
            <w:tcW w:w="3426" w:type="dxa"/>
            <w:tcBorders/>
            <w:shd w:fill="auto" w:val="clear"/>
            <w:vAlign w:val="bottom"/>
          </w:tcPr>
          <w:p>
            <w:pPr>
              <w:pStyle w:val="TableContents"/>
              <w:spacing w:before="0" w:after="283"/>
              <w:rPr>
                <w:sz w:val="4"/>
                <w:szCs w:val="4"/>
              </w:rPr>
            </w:pPr>
            <w:r>
              <w:rPr>
                <w:sz w:val="4"/>
                <w:szCs w:val="4"/>
              </w:rPr>
            </w:r>
          </w:p>
        </w:tc>
      </w:tr>
      <w:tr>
        <w:trPr/>
        <w:tc>
          <w:tcPr>
            <w:tcW w:w="2920" w:type="dxa"/>
            <w:tcBorders>
              <w:top w:val="single" w:sz="2" w:space="0" w:color="00548B"/>
            </w:tcBorders>
            <w:shd w:fill="auto" w:val="clear"/>
            <w:tcMar>
              <w:top w:w="28" w:type="dxa"/>
            </w:tcMar>
          </w:tcPr>
          <w:p>
            <w:pPr>
              <w:pStyle w:val="TableContents"/>
              <w:spacing w:before="0" w:after="283"/>
              <w:jc w:val="center"/>
              <w:rPr/>
            </w:pPr>
            <w:r>
              <w:rPr/>
              <w:t>Ekta Singh-Bushell</w:t>
            </w:r>
          </w:p>
        </w:tc>
        <w:tc>
          <w:tcPr>
            <w:tcW w:w="10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99" w:type="dxa"/>
            <w:tcBorders>
              <w:top w:val="single" w:sz="2" w:space="0" w:color="00548B"/>
            </w:tcBorders>
            <w:shd w:fill="auto" w:val="clear"/>
            <w:tcMar>
              <w:top w:w="28" w:type="dxa"/>
            </w:tcMar>
            <w:vAlign w:val="bottom"/>
          </w:tcPr>
          <w:p>
            <w:pPr>
              <w:pStyle w:val="TableContents"/>
              <w:spacing w:before="0" w:after="283"/>
              <w:rPr/>
            </w:pPr>
            <w:r>
              <w:rPr/>
              <w:t> </w:t>
            </w:r>
          </w:p>
        </w:tc>
        <w:tc>
          <w:tcPr>
            <w:tcW w:w="3323" w:type="dxa"/>
            <w:tcBorders>
              <w:top w:val="single" w:sz="2" w:space="0" w:color="00548B"/>
            </w:tcBorders>
            <w:shd w:fill="auto" w:val="clear"/>
            <w:tcMar>
              <w:top w:w="28" w:type="dxa"/>
            </w:tcMar>
          </w:tcPr>
          <w:p>
            <w:pPr>
              <w:pStyle w:val="TableContents"/>
              <w:spacing w:before="0" w:after="283"/>
              <w:jc w:val="center"/>
              <w:rPr/>
            </w:pPr>
            <w:r>
              <w:rPr/>
              <w:t>Debra L. Zumwalt</w:t>
            </w:r>
          </w:p>
        </w:tc>
        <w:tc>
          <w:tcPr>
            <w:tcW w:w="100"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23" w:type="dxa"/>
            <w:tcBorders/>
            <w:shd w:fill="auto" w:val="clear"/>
          </w:tcPr>
          <w:p>
            <w:pPr>
              <w:pStyle w:val="TableContents"/>
              <w:spacing w:before="0" w:after="283"/>
              <w:rPr>
                <w:sz w:val="4"/>
                <w:szCs w:val="4"/>
              </w:rPr>
            </w:pPr>
            <w:r>
              <w:rPr>
                <w:sz w:val="4"/>
                <w:szCs w:val="4"/>
              </w:rPr>
            </w:r>
          </w:p>
        </w:tc>
        <w:tc>
          <w:tcPr>
            <w:tcW w:w="99" w:type="dxa"/>
            <w:tcBorders/>
            <w:shd w:fill="auto" w:val="clear"/>
            <w:vAlign w:val="bottom"/>
          </w:tcPr>
          <w:p>
            <w:pPr>
              <w:pStyle w:val="TableContents"/>
              <w:spacing w:before="0" w:after="283"/>
              <w:rPr/>
            </w:pPr>
            <w:r>
              <w:rPr/>
              <w:t> </w:t>
            </w:r>
          </w:p>
        </w:tc>
        <w:tc>
          <w:tcPr>
            <w:tcW w:w="3426" w:type="dxa"/>
            <w:tcBorders/>
            <w:shd w:fill="auto" w:val="clear"/>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4"/>
        </w:rPr>
      </w:pPr>
      <w:bookmarkStart w:id="2" w:name="toc"/>
      <w:bookmarkEnd w:id="2"/>
      <w:r>
        <w:rPr>
          <w:rFonts w:ascii="arial" w:hAnsi="arial"/>
          <w:b/>
          <w:color w:val="00548B"/>
          <w:sz w:val="24"/>
        </w:rPr>
        <w:t xml:space="preserve">TABLE OF CONTENTS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9531"/>
        <w:gridCol w:w="256"/>
        <w:gridCol w:w="60"/>
        <w:gridCol w:w="295"/>
        <w:gridCol w:w="63"/>
      </w:tblGrid>
      <w:tr>
        <w:trPr/>
        <w:tc>
          <w:tcPr>
            <w:tcW w:w="9531" w:type="dxa"/>
            <w:tcBorders/>
            <w:shd w:fill="auto" w:val="clear"/>
            <w:vAlign w:val="center"/>
          </w:tcPr>
          <w:p>
            <w:pPr>
              <w:pStyle w:val="TableContents"/>
              <w:spacing w:before="0" w:after="283"/>
              <w:rPr>
                <w:sz w:val="4"/>
                <w:szCs w:val="4"/>
              </w:rPr>
            </w:pPr>
            <w:r>
              <w:rPr>
                <w:sz w:val="4"/>
                <w:szCs w:val="4"/>
              </w:rPr>
            </w:r>
          </w:p>
        </w:tc>
        <w:tc>
          <w:tcPr>
            <w:tcW w:w="25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95" w:type="dxa"/>
            <w:tcBorders/>
            <w:shd w:fill="auto" w:val="clear"/>
            <w:vAlign w:val="center"/>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r>
      <w:tr>
        <w:trPr/>
        <w:tc>
          <w:tcPr>
            <w:tcW w:w="9531" w:type="dxa"/>
            <w:tcBorders>
              <w:bottom w:val="single" w:sz="2" w:space="0" w:color="00548B"/>
            </w:tcBorders>
            <w:shd w:fill="auto" w:val="clear"/>
            <w:tcMar>
              <w:bottom w:w="28" w:type="dxa"/>
            </w:tcMar>
          </w:tcPr>
          <w:p>
            <w:pPr>
              <w:pStyle w:val="TableContents"/>
              <w:spacing w:before="0" w:after="0"/>
              <w:rPr/>
            </w:pPr>
            <w:hyperlink w:anchor="toc170561_1">
              <w:r>
                <w:rPr>
                  <w:rStyle w:val="InternetLink"/>
                  <w:rFonts w:ascii="arial" w:hAnsi="arial"/>
                  <w:sz w:val="20"/>
                </w:rPr>
                <w:t>GENERAL INFORMATION ABOUT THE MEETING</w:t>
              </w:r>
            </w:hyperlink>
          </w:p>
        </w:tc>
        <w:tc>
          <w:tcPr>
            <w:tcW w:w="25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29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1</w:t>
            </w:r>
          </w:p>
        </w:tc>
        <w:tc>
          <w:tcPr>
            <w:tcW w:w="63" w:type="dxa"/>
            <w:tcBorders>
              <w:bottom w:val="single" w:sz="2" w:space="0" w:color="00548B"/>
            </w:tcBorders>
            <w:shd w:fill="auto" w:val="clear"/>
            <w:tcMar>
              <w:bottom w:w="28" w:type="dxa"/>
            </w:tcM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2">
              <w:r>
                <w:rPr>
                  <w:rStyle w:val="InternetLink"/>
                  <w:rFonts w:ascii="arial" w:hAnsi="arial"/>
                  <w:sz w:val="20"/>
                </w:rPr>
                <w:t>Quorum and Voting Requirements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w:t>
            </w:r>
          </w:p>
        </w:tc>
        <w:tc>
          <w:tcPr>
            <w:tcW w:w="63" w:type="dxa"/>
            <w:tcBorders/>
            <w:shd w:fill="auto" w:val="clear"/>
            <w:vAlign w:val="bottom"/>
          </w:tcPr>
          <w:p>
            <w:pPr>
              <w:pStyle w:val="TableContents"/>
              <w:spacing w:before="0" w:after="283"/>
              <w:rPr/>
            </w:pPr>
            <w:r>
              <w:rPr/>
              <w:t> </w:t>
            </w:r>
          </w:p>
        </w:tc>
      </w:tr>
      <w:tr>
        <w:trPr>
          <w:trHeight w:val="120" w:hRule="atLeast"/>
        </w:trPr>
        <w:tc>
          <w:tcPr>
            <w:tcW w:w="9531" w:type="dxa"/>
            <w:tcBorders/>
            <w:shd w:fill="auto" w:val="clear"/>
            <w:vAlign w:val="center"/>
          </w:tcPr>
          <w:p>
            <w:pPr>
              <w:pStyle w:val="TableContents"/>
              <w:spacing w:before="0" w:after="283"/>
              <w:rPr>
                <w:sz w:val="4"/>
                <w:szCs w:val="4"/>
              </w:rPr>
            </w:pPr>
            <w:r>
              <w:rPr>
                <w:sz w:val="4"/>
                <w:szCs w:val="4"/>
              </w:rPr>
            </w:r>
          </w:p>
        </w:tc>
        <w:tc>
          <w:tcPr>
            <w:tcW w:w="674" w:type="dxa"/>
            <w:gridSpan w:val="4"/>
            <w:tcBorders/>
            <w:shd w:fill="auto" w:val="clear"/>
            <w:vAlign w:val="center"/>
          </w:tcPr>
          <w:p>
            <w:pPr>
              <w:pStyle w:val="TableContents"/>
              <w:spacing w:before="0" w:after="283"/>
              <w:rPr>
                <w:sz w:val="4"/>
                <w:szCs w:val="4"/>
              </w:rPr>
            </w:pPr>
            <w:r>
              <w:rPr>
                <w:sz w:val="4"/>
                <w:szCs w:val="4"/>
              </w:rPr>
            </w:r>
          </w:p>
        </w:tc>
      </w:tr>
      <w:tr>
        <w:trPr/>
        <w:tc>
          <w:tcPr>
            <w:tcW w:w="9531" w:type="dxa"/>
            <w:tcBorders>
              <w:bottom w:val="single" w:sz="2" w:space="0" w:color="00548B"/>
            </w:tcBorders>
            <w:shd w:fill="auto" w:val="clear"/>
            <w:tcMar>
              <w:bottom w:w="28" w:type="dxa"/>
            </w:tcMar>
          </w:tcPr>
          <w:p>
            <w:pPr>
              <w:pStyle w:val="TableContents"/>
              <w:spacing w:before="0" w:after="0"/>
              <w:rPr/>
            </w:pPr>
            <w:hyperlink w:anchor="toc170561_3">
              <w:r>
                <w:rPr>
                  <w:rStyle w:val="InternetLink"/>
                  <w:rFonts w:ascii="arial" w:hAnsi="arial"/>
                  <w:sz w:val="20"/>
                </w:rPr>
                <w:t>PROPOSAL 1 - ELECTION OF DIRECTORS</w:t>
              </w:r>
            </w:hyperlink>
          </w:p>
        </w:tc>
        <w:tc>
          <w:tcPr>
            <w:tcW w:w="25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29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2</w:t>
            </w:r>
          </w:p>
        </w:tc>
        <w:tc>
          <w:tcPr>
            <w:tcW w:w="63" w:type="dxa"/>
            <w:tcBorders>
              <w:bottom w:val="single" w:sz="2" w:space="0" w:color="00548B"/>
            </w:tcBorders>
            <w:shd w:fill="auto" w:val="clear"/>
            <w:tcMar>
              <w:bottom w:w="28" w:type="dxa"/>
            </w:tcM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4">
              <w:r>
                <w:rPr>
                  <w:rStyle w:val="InternetLink"/>
                  <w:rFonts w:ascii="arial" w:hAnsi="arial"/>
                  <w:sz w:val="20"/>
                </w:rPr>
                <w:t>Board of Directors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2</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5">
              <w:r>
                <w:rPr>
                  <w:rStyle w:val="InternetLink"/>
                  <w:rFonts w:ascii="arial" w:hAnsi="arial"/>
                  <w:sz w:val="20"/>
                </w:rPr>
                <w:t>About the Board</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2</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6">
              <w:r>
                <w:rPr>
                  <w:rStyle w:val="InternetLink"/>
                  <w:rFonts w:ascii="arial" w:hAnsi="arial"/>
                  <w:sz w:val="20"/>
                </w:rPr>
                <w:t>Nominees to Board of Directors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4</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7">
              <w:r>
                <w:rPr>
                  <w:rStyle w:val="InternetLink"/>
                  <w:rFonts w:ascii="arial" w:hAnsi="arial"/>
                  <w:sz w:val="20"/>
                </w:rPr>
                <w:t>Directors Not Standing for Election</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6</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8">
              <w:r>
                <w:rPr>
                  <w:rStyle w:val="InternetLink"/>
                  <w:rFonts w:ascii="arial" w:hAnsi="arial"/>
                  <w:sz w:val="20"/>
                </w:rPr>
                <w:t>Director Independence</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10</w:t>
            </w:r>
          </w:p>
        </w:tc>
        <w:tc>
          <w:tcPr>
            <w:tcW w:w="63" w:type="dxa"/>
            <w:tcBorders/>
            <w:shd w:fill="auto" w:val="clear"/>
            <w:vAlign w:val="bottom"/>
          </w:tcPr>
          <w:p>
            <w:pPr>
              <w:pStyle w:val="TableContents"/>
              <w:spacing w:before="0" w:after="283"/>
              <w:rPr/>
            </w:pPr>
            <w:r>
              <w:rPr/>
              <w:t> </w:t>
            </w:r>
          </w:p>
        </w:tc>
      </w:tr>
      <w:tr>
        <w:trPr>
          <w:trHeight w:val="120" w:hRule="atLeast"/>
        </w:trPr>
        <w:tc>
          <w:tcPr>
            <w:tcW w:w="9531" w:type="dxa"/>
            <w:tcBorders/>
            <w:shd w:fill="auto" w:val="clear"/>
            <w:vAlign w:val="center"/>
          </w:tcPr>
          <w:p>
            <w:pPr>
              <w:pStyle w:val="TableContents"/>
              <w:spacing w:before="0" w:after="283"/>
              <w:rPr>
                <w:sz w:val="4"/>
                <w:szCs w:val="4"/>
              </w:rPr>
            </w:pPr>
            <w:r>
              <w:rPr>
                <w:sz w:val="4"/>
                <w:szCs w:val="4"/>
              </w:rPr>
            </w:r>
          </w:p>
        </w:tc>
        <w:tc>
          <w:tcPr>
            <w:tcW w:w="674" w:type="dxa"/>
            <w:gridSpan w:val="4"/>
            <w:tcBorders/>
            <w:shd w:fill="auto" w:val="clear"/>
            <w:vAlign w:val="center"/>
          </w:tcPr>
          <w:p>
            <w:pPr>
              <w:pStyle w:val="TableContents"/>
              <w:spacing w:before="0" w:after="283"/>
              <w:rPr>
                <w:sz w:val="4"/>
                <w:szCs w:val="4"/>
              </w:rPr>
            </w:pPr>
            <w:r>
              <w:rPr>
                <w:sz w:val="4"/>
                <w:szCs w:val="4"/>
              </w:rPr>
            </w:r>
          </w:p>
        </w:tc>
      </w:tr>
      <w:tr>
        <w:trPr/>
        <w:tc>
          <w:tcPr>
            <w:tcW w:w="9531" w:type="dxa"/>
            <w:tcBorders>
              <w:bottom w:val="single" w:sz="2" w:space="0" w:color="00548B"/>
            </w:tcBorders>
            <w:shd w:fill="auto" w:val="clear"/>
            <w:tcMar>
              <w:bottom w:w="28" w:type="dxa"/>
            </w:tcMar>
          </w:tcPr>
          <w:p>
            <w:pPr>
              <w:pStyle w:val="TableContents"/>
              <w:spacing w:before="0" w:after="0"/>
              <w:rPr/>
            </w:pPr>
            <w:hyperlink w:anchor="toc170561_9">
              <w:r>
                <w:rPr>
                  <w:rStyle w:val="InternetLink"/>
                  <w:rFonts w:ascii="arial" w:hAnsi="arial"/>
                  <w:sz w:val="20"/>
                </w:rPr>
                <w:t>CORPORATE GOVERNANCE</w:t>
              </w:r>
            </w:hyperlink>
          </w:p>
        </w:tc>
        <w:tc>
          <w:tcPr>
            <w:tcW w:w="25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29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10</w:t>
            </w:r>
          </w:p>
        </w:tc>
        <w:tc>
          <w:tcPr>
            <w:tcW w:w="63" w:type="dxa"/>
            <w:tcBorders>
              <w:bottom w:val="single" w:sz="2" w:space="0" w:color="00548B"/>
            </w:tcBorders>
            <w:shd w:fill="auto" w:val="clear"/>
            <w:tcMar>
              <w:bottom w:w="28" w:type="dxa"/>
            </w:tcM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10">
              <w:r>
                <w:rPr>
                  <w:rStyle w:val="InternetLink"/>
                  <w:rFonts w:ascii="arial" w:hAnsi="arial"/>
                  <w:sz w:val="20"/>
                </w:rPr>
                <w:t>Board composition, Leadership Structure and Risk Oversight</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10</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11">
              <w:r>
                <w:rPr>
                  <w:rStyle w:val="InternetLink"/>
                  <w:rFonts w:ascii="arial" w:hAnsi="arial"/>
                  <w:sz w:val="20"/>
                </w:rPr>
                <w:t>Board Meetings and Committees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12</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12">
              <w:r>
                <w:rPr>
                  <w:rStyle w:val="InternetLink"/>
                  <w:rFonts w:ascii="arial" w:hAnsi="arial"/>
                  <w:sz w:val="20"/>
                </w:rPr>
                <w:t>Director Resignation Policy</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13</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13">
              <w:r>
                <w:rPr>
                  <w:rStyle w:val="InternetLink"/>
                  <w:rFonts w:ascii="arial" w:hAnsi="arial"/>
                  <w:sz w:val="20"/>
                </w:rPr>
                <w:t>Diversity of Board Skills and Experience</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14</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14">
              <w:r>
                <w:rPr>
                  <w:rStyle w:val="InternetLink"/>
                  <w:rFonts w:ascii="arial" w:hAnsi="arial"/>
                  <w:sz w:val="20"/>
                </w:rPr>
                <w:t>Compensation of Directors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14</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15">
              <w:r>
                <w:rPr>
                  <w:rStyle w:val="InternetLink"/>
                  <w:rFonts w:ascii="arial" w:hAnsi="arial"/>
                  <w:sz w:val="20"/>
                </w:rPr>
                <w:t>Director Compensation Table</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15</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16">
              <w:r>
                <w:rPr>
                  <w:rStyle w:val="InternetLink"/>
                  <w:rFonts w:ascii="arial" w:hAnsi="arial"/>
                  <w:sz w:val="20"/>
                </w:rPr>
                <w:t>Executive Officers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16</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17">
              <w:r>
                <w:rPr>
                  <w:rStyle w:val="InternetLink"/>
                  <w:rFonts w:ascii="arial" w:hAnsi="arial"/>
                  <w:sz w:val="20"/>
                </w:rPr>
                <w:t>Section 16(a) Beneficial Ownership Reporting Compliance</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17</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18">
              <w:r>
                <w:rPr>
                  <w:rStyle w:val="InternetLink"/>
                  <w:rFonts w:ascii="arial" w:hAnsi="arial"/>
                  <w:sz w:val="20"/>
                </w:rPr>
                <w:t>Stock Ownership of Certain Beneficial Owners and Management</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17</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19">
              <w:r>
                <w:rPr>
                  <w:rStyle w:val="InternetLink"/>
                  <w:rFonts w:ascii="arial" w:hAnsi="arial"/>
                  <w:sz w:val="20"/>
                </w:rPr>
                <w:t>Corporate Social Responsibility</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19</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20">
              <w:r>
                <w:rPr>
                  <w:rStyle w:val="InternetLink"/>
                  <w:rFonts w:ascii="arial" w:hAnsi="arial"/>
                  <w:sz w:val="20"/>
                </w:rPr>
                <w:t>Stockholder Communications Policy</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21</w:t>
            </w:r>
          </w:p>
        </w:tc>
        <w:tc>
          <w:tcPr>
            <w:tcW w:w="63" w:type="dxa"/>
            <w:tcBorders/>
            <w:shd w:fill="auto" w:val="clear"/>
            <w:vAlign w:val="bottom"/>
          </w:tcPr>
          <w:p>
            <w:pPr>
              <w:pStyle w:val="TableContents"/>
              <w:spacing w:before="0" w:after="283"/>
              <w:rPr/>
            </w:pPr>
            <w:r>
              <w:rPr/>
              <w:t> </w:t>
            </w:r>
          </w:p>
        </w:tc>
      </w:tr>
      <w:tr>
        <w:trPr>
          <w:trHeight w:val="120" w:hRule="atLeast"/>
        </w:trPr>
        <w:tc>
          <w:tcPr>
            <w:tcW w:w="9531" w:type="dxa"/>
            <w:tcBorders/>
            <w:shd w:fill="auto" w:val="clear"/>
            <w:vAlign w:val="center"/>
          </w:tcPr>
          <w:p>
            <w:pPr>
              <w:pStyle w:val="TableContents"/>
              <w:spacing w:before="0" w:after="283"/>
              <w:rPr>
                <w:sz w:val="4"/>
                <w:szCs w:val="4"/>
              </w:rPr>
            </w:pPr>
            <w:r>
              <w:rPr>
                <w:sz w:val="4"/>
                <w:szCs w:val="4"/>
              </w:rPr>
            </w:r>
          </w:p>
        </w:tc>
        <w:tc>
          <w:tcPr>
            <w:tcW w:w="674" w:type="dxa"/>
            <w:gridSpan w:val="4"/>
            <w:tcBorders/>
            <w:shd w:fill="auto" w:val="clear"/>
            <w:vAlign w:val="center"/>
          </w:tcPr>
          <w:p>
            <w:pPr>
              <w:pStyle w:val="TableContents"/>
              <w:spacing w:before="0" w:after="283"/>
              <w:rPr>
                <w:sz w:val="4"/>
                <w:szCs w:val="4"/>
              </w:rPr>
            </w:pPr>
            <w:r>
              <w:rPr>
                <w:sz w:val="4"/>
                <w:szCs w:val="4"/>
              </w:rPr>
            </w:r>
          </w:p>
        </w:tc>
      </w:tr>
      <w:tr>
        <w:trPr/>
        <w:tc>
          <w:tcPr>
            <w:tcW w:w="9531" w:type="dxa"/>
            <w:tcBorders>
              <w:bottom w:val="single" w:sz="2" w:space="0" w:color="00548B"/>
            </w:tcBorders>
            <w:shd w:fill="auto" w:val="clear"/>
            <w:tcMar>
              <w:bottom w:w="28" w:type="dxa"/>
            </w:tcMar>
          </w:tcPr>
          <w:p>
            <w:pPr>
              <w:pStyle w:val="TableContents"/>
              <w:spacing w:before="0" w:after="283"/>
              <w:rPr/>
            </w:pPr>
            <w:hyperlink w:anchor="toc170561_21">
              <w:r>
                <w:rPr>
                  <w:rStyle w:val="InternetLink"/>
                </w:rPr>
                <w:t>EXECUTIVE COMPENSATION</w:t>
              </w:r>
            </w:hyperlink>
          </w:p>
        </w:tc>
        <w:tc>
          <w:tcPr>
            <w:tcW w:w="25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29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22</w:t>
            </w:r>
          </w:p>
        </w:tc>
        <w:tc>
          <w:tcPr>
            <w:tcW w:w="63" w:type="dxa"/>
            <w:tcBorders>
              <w:bottom w:val="single" w:sz="2" w:space="0" w:color="00548B"/>
            </w:tcBorders>
            <w:shd w:fill="auto" w:val="clear"/>
            <w:tcMar>
              <w:bottom w:w="28" w:type="dxa"/>
            </w:tcM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22">
              <w:r>
                <w:rPr>
                  <w:rStyle w:val="InternetLink"/>
                  <w:rFonts w:ascii="arial" w:hAnsi="arial"/>
                  <w:sz w:val="20"/>
                </w:rPr>
                <w:t>Compensation Discussion and Analysis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22</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23">
              <w:r>
                <w:rPr>
                  <w:rStyle w:val="InternetLink"/>
                  <w:rFonts w:ascii="arial" w:hAnsi="arial"/>
                  <w:sz w:val="20"/>
                </w:rPr>
                <w:t>Compensation Committee Report</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36</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24">
              <w:r>
                <w:rPr>
                  <w:rStyle w:val="InternetLink"/>
                  <w:rFonts w:ascii="arial" w:hAnsi="arial"/>
                  <w:sz w:val="20"/>
                </w:rPr>
                <w:t>2020 Summary Compensation Table</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37</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25">
              <w:r>
                <w:rPr>
                  <w:rStyle w:val="InternetLink"/>
                  <w:rFonts w:ascii="arial" w:hAnsi="arial"/>
                  <w:sz w:val="20"/>
                </w:rPr>
                <w:t>2020 Grants of Plan-Based Awards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39</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26">
              <w:r>
                <w:rPr>
                  <w:rStyle w:val="InternetLink"/>
                  <w:rFonts w:ascii="arial" w:hAnsi="arial"/>
                  <w:sz w:val="20"/>
                </w:rPr>
                <w:t xml:space="preserve">2020 Outstanding Equity Awards at Fiscal Year-End </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40</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27">
              <w:r>
                <w:rPr>
                  <w:rStyle w:val="InternetLink"/>
                  <w:rFonts w:ascii="arial" w:hAnsi="arial"/>
                  <w:sz w:val="20"/>
                </w:rPr>
                <w:t>2020 Option Exercises and Stock Vested</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41</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28">
              <w:r>
                <w:rPr>
                  <w:rStyle w:val="InternetLink"/>
                  <w:rFonts w:ascii="arial" w:hAnsi="arial"/>
                  <w:sz w:val="20"/>
                </w:rPr>
                <w:t>2020 Nonqualified Deferred Compensation</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41</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29">
              <w:r>
                <w:rPr>
                  <w:rStyle w:val="InternetLink"/>
                  <w:rFonts w:ascii="arial" w:hAnsi="arial"/>
                  <w:sz w:val="20"/>
                </w:rPr>
                <w:t>Potential Payments upon Termination or Change of Control</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43</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30">
              <w:r>
                <w:rPr>
                  <w:rStyle w:val="InternetLink"/>
                  <w:rFonts w:ascii="arial" w:hAnsi="arial"/>
                  <w:sz w:val="20"/>
                </w:rPr>
                <w:t>Compensation Committee Interlocks and Insider Participation</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49</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31">
              <w:r>
                <w:rPr>
                  <w:rStyle w:val="InternetLink"/>
                  <w:rFonts w:ascii="arial" w:hAnsi="arial"/>
                  <w:sz w:val="20"/>
                </w:rPr>
                <w:t>Certain Relationships and Related Transactions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49</w:t>
            </w:r>
          </w:p>
        </w:tc>
        <w:tc>
          <w:tcPr>
            <w:tcW w:w="63" w:type="dxa"/>
            <w:tcBorders/>
            <w:shd w:fill="auto" w:val="clear"/>
            <w:vAlign w:val="bottom"/>
          </w:tcPr>
          <w:p>
            <w:pPr>
              <w:pStyle w:val="TableContents"/>
              <w:spacing w:before="0" w:after="283"/>
              <w:rPr/>
            </w:pPr>
            <w:r>
              <w:rPr/>
              <w:t> </w:t>
            </w:r>
          </w:p>
        </w:tc>
      </w:tr>
      <w:tr>
        <w:trPr>
          <w:trHeight w:val="120" w:hRule="atLeast"/>
        </w:trPr>
        <w:tc>
          <w:tcPr>
            <w:tcW w:w="9531" w:type="dxa"/>
            <w:tcBorders/>
            <w:shd w:fill="auto" w:val="clear"/>
            <w:vAlign w:val="center"/>
          </w:tcPr>
          <w:p>
            <w:pPr>
              <w:pStyle w:val="TableContents"/>
              <w:spacing w:before="0" w:after="283"/>
              <w:rPr>
                <w:sz w:val="4"/>
                <w:szCs w:val="4"/>
              </w:rPr>
            </w:pPr>
            <w:r>
              <w:rPr>
                <w:sz w:val="4"/>
                <w:szCs w:val="4"/>
              </w:rPr>
            </w:r>
          </w:p>
        </w:tc>
        <w:tc>
          <w:tcPr>
            <w:tcW w:w="674" w:type="dxa"/>
            <w:gridSpan w:val="4"/>
            <w:tcBorders/>
            <w:shd w:fill="auto" w:val="clear"/>
            <w:vAlign w:val="center"/>
          </w:tcPr>
          <w:p>
            <w:pPr>
              <w:pStyle w:val="TableContents"/>
              <w:spacing w:before="0" w:after="283"/>
              <w:rPr>
                <w:sz w:val="4"/>
                <w:szCs w:val="4"/>
              </w:rPr>
            </w:pPr>
            <w:r>
              <w:rPr>
                <w:sz w:val="4"/>
                <w:szCs w:val="4"/>
              </w:rPr>
            </w:r>
          </w:p>
        </w:tc>
      </w:tr>
      <w:tr>
        <w:trPr/>
        <w:tc>
          <w:tcPr>
            <w:tcW w:w="9531" w:type="dxa"/>
            <w:tcBorders>
              <w:bottom w:val="single" w:sz="2" w:space="0" w:color="00548B"/>
            </w:tcBorders>
            <w:shd w:fill="auto" w:val="clear"/>
            <w:tcMar>
              <w:bottom w:w="28" w:type="dxa"/>
            </w:tcMar>
          </w:tcPr>
          <w:p>
            <w:pPr>
              <w:pStyle w:val="TableContents"/>
              <w:spacing w:before="0" w:after="283"/>
              <w:rPr/>
            </w:pPr>
            <w:hyperlink w:anchor="toc170561_32">
              <w:r>
                <w:rPr>
                  <w:rStyle w:val="InternetLink"/>
                </w:rPr>
                <w:t>PROPOSAL 2 - TO APPROVE AN AMENDMENT TO THE COMPANYS AMENDED AND RESTATED 2012 OMNIBUS INCENTIVE PLAN</w:t>
              </w:r>
            </w:hyperlink>
          </w:p>
        </w:tc>
        <w:tc>
          <w:tcPr>
            <w:tcW w:w="25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29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50</w:t>
            </w:r>
          </w:p>
        </w:tc>
        <w:tc>
          <w:tcPr>
            <w:tcW w:w="63" w:type="dxa"/>
            <w:tcBorders>
              <w:bottom w:val="single" w:sz="2" w:space="0" w:color="00548B"/>
            </w:tcBorders>
            <w:shd w:fill="auto" w:val="clear"/>
            <w:tcMar>
              <w:bottom w:w="28" w:type="dxa"/>
            </w:tcMar>
            <w:vAlign w:val="bottom"/>
          </w:tcPr>
          <w:p>
            <w:pPr>
              <w:pStyle w:val="TableContents"/>
              <w:spacing w:before="0" w:after="283"/>
              <w:rPr/>
            </w:pPr>
            <w:r>
              <w:rPr/>
              <w:t> </w:t>
            </w:r>
          </w:p>
        </w:tc>
      </w:tr>
      <w:tr>
        <w:trPr>
          <w:trHeight w:val="120" w:hRule="atLeast"/>
        </w:trPr>
        <w:tc>
          <w:tcPr>
            <w:tcW w:w="9531" w:type="dxa"/>
            <w:tcBorders/>
            <w:shd w:fill="auto" w:val="clear"/>
            <w:vAlign w:val="center"/>
          </w:tcPr>
          <w:p>
            <w:pPr>
              <w:pStyle w:val="TableContents"/>
              <w:spacing w:before="0" w:after="283"/>
              <w:rPr>
                <w:sz w:val="4"/>
                <w:szCs w:val="4"/>
              </w:rPr>
            </w:pPr>
            <w:r>
              <w:rPr>
                <w:sz w:val="4"/>
                <w:szCs w:val="4"/>
              </w:rPr>
            </w:r>
          </w:p>
        </w:tc>
        <w:tc>
          <w:tcPr>
            <w:tcW w:w="674" w:type="dxa"/>
            <w:gridSpan w:val="4"/>
            <w:tcBorders/>
            <w:shd w:fill="auto" w:val="clear"/>
            <w:vAlign w:val="center"/>
          </w:tcPr>
          <w:p>
            <w:pPr>
              <w:pStyle w:val="TableContents"/>
              <w:spacing w:before="0" w:after="283"/>
              <w:rPr>
                <w:sz w:val="4"/>
                <w:szCs w:val="4"/>
              </w:rPr>
            </w:pPr>
            <w:r>
              <w:rPr>
                <w:sz w:val="4"/>
                <w:szCs w:val="4"/>
              </w:rPr>
            </w:r>
          </w:p>
        </w:tc>
      </w:tr>
      <w:tr>
        <w:trPr/>
        <w:tc>
          <w:tcPr>
            <w:tcW w:w="9531" w:type="dxa"/>
            <w:tcBorders>
              <w:bottom w:val="single" w:sz="2" w:space="0" w:color="00548B"/>
            </w:tcBorders>
            <w:shd w:fill="auto" w:val="clear"/>
            <w:tcMar>
              <w:bottom w:w="28" w:type="dxa"/>
            </w:tcMar>
          </w:tcPr>
          <w:p>
            <w:pPr>
              <w:pStyle w:val="TableContents"/>
              <w:spacing w:before="0" w:after="283"/>
              <w:rPr/>
            </w:pPr>
            <w:hyperlink w:anchor="toc170561_33">
              <w:r>
                <w:rPr>
                  <w:rStyle w:val="InternetLink"/>
                </w:rPr>
                <w:t>PROPOSAL 3  ADVISORY VOTE TO APPROVE THE COMPANYS EXECUTIVE COMPENSATION</w:t>
              </w:r>
            </w:hyperlink>
          </w:p>
        </w:tc>
        <w:tc>
          <w:tcPr>
            <w:tcW w:w="25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29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56</w:t>
            </w:r>
          </w:p>
        </w:tc>
        <w:tc>
          <w:tcPr>
            <w:tcW w:w="63" w:type="dxa"/>
            <w:tcBorders>
              <w:bottom w:val="single" w:sz="2" w:space="0" w:color="00548B"/>
            </w:tcBorders>
            <w:shd w:fill="auto" w:val="clear"/>
            <w:tcMar>
              <w:bottom w:w="28" w:type="dxa"/>
            </w:tcMar>
            <w:vAlign w:val="bottom"/>
          </w:tcPr>
          <w:p>
            <w:pPr>
              <w:pStyle w:val="TableContents"/>
              <w:spacing w:before="0" w:after="283"/>
              <w:rPr/>
            </w:pPr>
            <w:r>
              <w:rPr/>
              <w:t> </w:t>
            </w:r>
          </w:p>
        </w:tc>
      </w:tr>
      <w:tr>
        <w:trPr>
          <w:trHeight w:val="120" w:hRule="atLeast"/>
        </w:trPr>
        <w:tc>
          <w:tcPr>
            <w:tcW w:w="9531" w:type="dxa"/>
            <w:tcBorders/>
            <w:shd w:fill="auto" w:val="clear"/>
            <w:vAlign w:val="center"/>
          </w:tcPr>
          <w:p>
            <w:pPr>
              <w:pStyle w:val="TableContents"/>
              <w:spacing w:before="0" w:after="283"/>
              <w:rPr>
                <w:sz w:val="4"/>
                <w:szCs w:val="4"/>
              </w:rPr>
            </w:pPr>
            <w:r>
              <w:rPr>
                <w:sz w:val="4"/>
                <w:szCs w:val="4"/>
              </w:rPr>
            </w:r>
          </w:p>
        </w:tc>
        <w:tc>
          <w:tcPr>
            <w:tcW w:w="674" w:type="dxa"/>
            <w:gridSpan w:val="4"/>
            <w:tcBorders/>
            <w:shd w:fill="auto" w:val="clear"/>
            <w:vAlign w:val="center"/>
          </w:tcPr>
          <w:p>
            <w:pPr>
              <w:pStyle w:val="TableContents"/>
              <w:spacing w:before="0" w:after="283"/>
              <w:rPr>
                <w:sz w:val="4"/>
                <w:szCs w:val="4"/>
              </w:rPr>
            </w:pPr>
            <w:r>
              <w:rPr>
                <w:sz w:val="4"/>
                <w:szCs w:val="4"/>
              </w:rPr>
            </w:r>
          </w:p>
        </w:tc>
      </w:tr>
      <w:tr>
        <w:trPr/>
        <w:tc>
          <w:tcPr>
            <w:tcW w:w="9531" w:type="dxa"/>
            <w:tcBorders>
              <w:bottom w:val="single" w:sz="2" w:space="0" w:color="00548B"/>
            </w:tcBorders>
            <w:shd w:fill="auto" w:val="clear"/>
            <w:tcMar>
              <w:bottom w:w="28" w:type="dxa"/>
            </w:tcMar>
          </w:tcPr>
          <w:p>
            <w:pPr>
              <w:pStyle w:val="TableContents"/>
              <w:spacing w:before="0" w:after="283"/>
              <w:rPr/>
            </w:pPr>
            <w:hyperlink w:anchor="toc170561_34">
              <w:r>
                <w:rPr>
                  <w:rStyle w:val="InternetLink"/>
                </w:rPr>
                <w:t>PROPOSAL 4  RATIFICATION OF APPOINTMENT OF INDEPENDENT REGISTERED PUBLIC ACCOUNTING FIRM</w:t>
              </w:r>
            </w:hyperlink>
          </w:p>
        </w:tc>
        <w:tc>
          <w:tcPr>
            <w:tcW w:w="25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29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57</w:t>
            </w:r>
          </w:p>
        </w:tc>
        <w:tc>
          <w:tcPr>
            <w:tcW w:w="63" w:type="dxa"/>
            <w:tcBorders>
              <w:bottom w:val="single" w:sz="2" w:space="0" w:color="00548B"/>
            </w:tcBorders>
            <w:shd w:fill="auto" w:val="clear"/>
            <w:tcMar>
              <w:bottom w:w="28" w:type="dxa"/>
            </w:tcM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35">
              <w:r>
                <w:rPr>
                  <w:rStyle w:val="InternetLink"/>
                  <w:rFonts w:ascii="arial" w:hAnsi="arial"/>
                  <w:sz w:val="20"/>
                </w:rPr>
                <w:t>Audit and Non-Audit Fees</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57</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36">
              <w:r>
                <w:rPr>
                  <w:rStyle w:val="InternetLink"/>
                  <w:rFonts w:ascii="arial" w:hAnsi="arial"/>
                  <w:sz w:val="20"/>
                </w:rPr>
                <w:t>Policy on Audit Committee Preapproval of Audit and Non-Audit Services of Independent Registered Public Accounting Firm</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58</w:t>
            </w:r>
          </w:p>
        </w:tc>
        <w:tc>
          <w:tcPr>
            <w:tcW w:w="63" w:type="dxa"/>
            <w:tcBorders/>
            <w:shd w:fill="auto" w:val="clear"/>
            <w:vAlign w:val="bottom"/>
          </w:tcPr>
          <w:p>
            <w:pPr>
              <w:pStyle w:val="TableContents"/>
              <w:spacing w:before="0" w:after="283"/>
              <w:rPr/>
            </w:pPr>
            <w:r>
              <w:rPr/>
              <w:t> </w:t>
            </w:r>
          </w:p>
        </w:tc>
      </w:tr>
      <w:tr>
        <w:trPr/>
        <w:tc>
          <w:tcPr>
            <w:tcW w:w="9531" w:type="dxa"/>
            <w:tcBorders/>
            <w:shd w:fill="auto" w:val="clear"/>
          </w:tcPr>
          <w:p>
            <w:pPr>
              <w:pStyle w:val="TableContents"/>
              <w:spacing w:before="0" w:after="0"/>
              <w:rPr/>
            </w:pPr>
            <w:hyperlink w:anchor="toc170561_37">
              <w:r>
                <w:rPr>
                  <w:rStyle w:val="InternetLink"/>
                  <w:rFonts w:ascii="arial" w:hAnsi="arial"/>
                  <w:sz w:val="20"/>
                </w:rPr>
                <w:t>Report of the Audit Committee</w:t>
              </w:r>
            </w:hyperlink>
          </w:p>
        </w:tc>
        <w:tc>
          <w:tcPr>
            <w:tcW w:w="25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295" w:type="dxa"/>
            <w:tcBorders/>
            <w:shd w:fill="auto" w:val="clear"/>
            <w:vAlign w:val="bottom"/>
          </w:tcPr>
          <w:p>
            <w:pPr>
              <w:pStyle w:val="TableContents"/>
              <w:spacing w:before="0" w:after="283"/>
              <w:jc w:val="right"/>
              <w:rPr>
                <w:rFonts w:ascii="ARIAL" w:hAnsi="ARIAL"/>
              </w:rPr>
            </w:pPr>
            <w:r>
              <w:rPr>
                <w:rFonts w:ascii="ARIAL" w:hAnsi="ARIAL"/>
              </w:rPr>
              <w:t>58</w:t>
            </w:r>
          </w:p>
        </w:tc>
        <w:tc>
          <w:tcPr>
            <w:tcW w:w="63" w:type="dxa"/>
            <w:tcBorders/>
            <w:shd w:fill="auto" w:val="clear"/>
            <w:vAlign w:val="bottom"/>
          </w:tcPr>
          <w:p>
            <w:pPr>
              <w:pStyle w:val="TableContents"/>
              <w:spacing w:before="0" w:after="283"/>
              <w:rPr/>
            </w:pPr>
            <w:r>
              <w:rPr/>
              <w:t> </w:t>
            </w:r>
          </w:p>
        </w:tc>
      </w:tr>
      <w:tr>
        <w:trPr>
          <w:trHeight w:val="120" w:hRule="atLeast"/>
        </w:trPr>
        <w:tc>
          <w:tcPr>
            <w:tcW w:w="9531" w:type="dxa"/>
            <w:tcBorders/>
            <w:shd w:fill="auto" w:val="clear"/>
            <w:vAlign w:val="center"/>
          </w:tcPr>
          <w:p>
            <w:pPr>
              <w:pStyle w:val="TableContents"/>
              <w:spacing w:before="0" w:after="283"/>
              <w:rPr>
                <w:sz w:val="4"/>
                <w:szCs w:val="4"/>
              </w:rPr>
            </w:pPr>
            <w:r>
              <w:rPr>
                <w:sz w:val="4"/>
                <w:szCs w:val="4"/>
              </w:rPr>
            </w:r>
          </w:p>
        </w:tc>
        <w:tc>
          <w:tcPr>
            <w:tcW w:w="674" w:type="dxa"/>
            <w:gridSpan w:val="4"/>
            <w:tcBorders/>
            <w:shd w:fill="auto" w:val="clear"/>
            <w:vAlign w:val="center"/>
          </w:tcPr>
          <w:p>
            <w:pPr>
              <w:pStyle w:val="TableContents"/>
              <w:spacing w:before="0" w:after="283"/>
              <w:rPr>
                <w:sz w:val="4"/>
                <w:szCs w:val="4"/>
              </w:rPr>
            </w:pPr>
            <w:r>
              <w:rPr>
                <w:sz w:val="4"/>
                <w:szCs w:val="4"/>
              </w:rPr>
            </w:r>
          </w:p>
        </w:tc>
      </w:tr>
      <w:tr>
        <w:trPr/>
        <w:tc>
          <w:tcPr>
            <w:tcW w:w="9531" w:type="dxa"/>
            <w:tcBorders>
              <w:bottom w:val="single" w:sz="2" w:space="0" w:color="00548B"/>
            </w:tcBorders>
            <w:shd w:fill="auto" w:val="clear"/>
            <w:tcMar>
              <w:bottom w:w="28" w:type="dxa"/>
            </w:tcMar>
          </w:tcPr>
          <w:p>
            <w:pPr>
              <w:pStyle w:val="TableContents"/>
              <w:spacing w:before="0" w:after="0"/>
              <w:rPr/>
            </w:pPr>
            <w:hyperlink w:anchor="toc170561_38">
              <w:r>
                <w:rPr>
                  <w:rStyle w:val="InternetLink"/>
                  <w:rFonts w:ascii="arial" w:hAnsi="arial"/>
                  <w:sz w:val="20"/>
                </w:rPr>
                <w:t>SUBMISSION OF STOCKHOLDER PROPOSALS</w:t>
              </w:r>
            </w:hyperlink>
          </w:p>
        </w:tc>
        <w:tc>
          <w:tcPr>
            <w:tcW w:w="25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29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59</w:t>
            </w:r>
          </w:p>
        </w:tc>
        <w:tc>
          <w:tcPr>
            <w:tcW w:w="63" w:type="dxa"/>
            <w:tcBorders>
              <w:bottom w:val="single" w:sz="2" w:space="0" w:color="00548B"/>
            </w:tcBorders>
            <w:shd w:fill="auto" w:val="clear"/>
            <w:tcMar>
              <w:bottom w:w="28" w:type="dxa"/>
            </w:tcMar>
            <w:vAlign w:val="bottom"/>
          </w:tcPr>
          <w:p>
            <w:pPr>
              <w:pStyle w:val="TableContents"/>
              <w:spacing w:before="0" w:after="283"/>
              <w:rPr/>
            </w:pPr>
            <w:r>
              <w:rPr/>
              <w:t> </w:t>
            </w:r>
          </w:p>
        </w:tc>
      </w:tr>
      <w:tr>
        <w:trPr>
          <w:trHeight w:val="120" w:hRule="atLeast"/>
        </w:trPr>
        <w:tc>
          <w:tcPr>
            <w:tcW w:w="9531" w:type="dxa"/>
            <w:tcBorders/>
            <w:shd w:fill="auto" w:val="clear"/>
            <w:vAlign w:val="center"/>
          </w:tcPr>
          <w:p>
            <w:pPr>
              <w:pStyle w:val="TableContents"/>
              <w:spacing w:before="0" w:after="283"/>
              <w:rPr>
                <w:sz w:val="4"/>
                <w:szCs w:val="4"/>
              </w:rPr>
            </w:pPr>
            <w:r>
              <w:rPr>
                <w:sz w:val="4"/>
                <w:szCs w:val="4"/>
              </w:rPr>
            </w:r>
          </w:p>
        </w:tc>
        <w:tc>
          <w:tcPr>
            <w:tcW w:w="674" w:type="dxa"/>
            <w:gridSpan w:val="4"/>
            <w:tcBorders/>
            <w:shd w:fill="auto" w:val="clear"/>
            <w:vAlign w:val="center"/>
          </w:tcPr>
          <w:p>
            <w:pPr>
              <w:pStyle w:val="TableContents"/>
              <w:spacing w:before="0" w:after="283"/>
              <w:rPr>
                <w:sz w:val="4"/>
                <w:szCs w:val="4"/>
              </w:rPr>
            </w:pPr>
            <w:r>
              <w:rPr>
                <w:sz w:val="4"/>
                <w:szCs w:val="4"/>
              </w:rPr>
            </w:r>
          </w:p>
        </w:tc>
      </w:tr>
      <w:tr>
        <w:trPr/>
        <w:tc>
          <w:tcPr>
            <w:tcW w:w="9531" w:type="dxa"/>
            <w:tcBorders>
              <w:bottom w:val="single" w:sz="2" w:space="0" w:color="00548B"/>
            </w:tcBorders>
            <w:shd w:fill="auto" w:val="clear"/>
            <w:tcMar>
              <w:bottom w:w="28" w:type="dxa"/>
            </w:tcMar>
          </w:tcPr>
          <w:p>
            <w:pPr>
              <w:pStyle w:val="TableContents"/>
              <w:spacing w:before="0" w:after="0"/>
              <w:rPr/>
            </w:pPr>
            <w:hyperlink w:anchor="toc170561_39">
              <w:r>
                <w:rPr>
                  <w:rStyle w:val="InternetLink"/>
                  <w:rFonts w:ascii="arial" w:hAnsi="arial"/>
                  <w:sz w:val="20"/>
                </w:rPr>
                <w:t>OTHER MATTERS</w:t>
              </w:r>
            </w:hyperlink>
          </w:p>
        </w:tc>
        <w:tc>
          <w:tcPr>
            <w:tcW w:w="25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29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59</w:t>
            </w:r>
          </w:p>
        </w:tc>
        <w:tc>
          <w:tcPr>
            <w:tcW w:w="63"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i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pPr>
      <w:r>
        <w:rPr/>
        <w:drawing>
          <wp:inline distT="0" distB="0" distL="0" distR="0">
            <wp:extent cx="220980" cy="4381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embed="rId10"/>
                    <a:stretch>
                      <a:fillRect/>
                    </a:stretch>
                  </pic:blipFill>
                  <pic:spPr bwMode="auto">
                    <a:xfrm>
                      <a:off x="0" y="0"/>
                      <a:ext cx="220980" cy="43815"/>
                    </a:xfrm>
                    <a:prstGeom prst="rect">
                      <a:avLst/>
                    </a:prstGeom>
                  </pic:spPr>
                </pic:pic>
              </a:graphicData>
            </a:graphic>
          </wp:inline>
        </w:drawing>
      </w:r>
      <w:r>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0548B" w:val="clear"/>
          </w:tcPr>
          <w:p>
            <w:pPr>
              <w:pStyle w:val="TableContents"/>
              <w:spacing w:before="0" w:after="0"/>
              <w:rPr/>
            </w:pPr>
            <w:r>
              <w:rPr/>
              <w:t> </w:t>
            </w:r>
          </w:p>
          <w:p>
            <w:pPr>
              <w:pStyle w:val="TableContents"/>
              <w:spacing w:before="0" w:after="0"/>
              <w:jc w:val="center"/>
              <w:rPr>
                <w:rFonts w:ascii="arial" w:hAnsi="arial"/>
                <w:b/>
                <w:color w:val="D8D8D8"/>
                <w:sz w:val="24"/>
              </w:rPr>
            </w:pPr>
            <w:r>
              <w:rPr>
                <w:rFonts w:ascii="arial" w:hAnsi="arial"/>
                <w:b/>
                <w:color w:val="D8D8D8"/>
                <w:sz w:val="24"/>
              </w:rPr>
              <w:t>PROXY STATEMENT</w:t>
            </w:r>
          </w:p>
          <w:p>
            <w:pPr>
              <w:pStyle w:val="TableContents"/>
              <w:spacing w:before="0" w:after="0"/>
              <w:jc w:val="center"/>
              <w:rPr>
                <w:rFonts w:ascii="arial" w:hAnsi="arial"/>
                <w:b/>
                <w:color w:val="D8D8D8"/>
                <w:sz w:val="24"/>
              </w:rPr>
            </w:pPr>
            <w:r>
              <w:rPr>
                <w:rFonts w:ascii="arial" w:hAnsi="arial"/>
                <w:b/>
                <w:color w:val="D8D8D8"/>
                <w:sz w:val="24"/>
              </w:rPr>
              <w:t>FOR</w:t>
            </w:r>
          </w:p>
          <w:p>
            <w:pPr>
              <w:pStyle w:val="TableContents"/>
              <w:spacing w:before="0" w:after="0"/>
              <w:jc w:val="center"/>
              <w:rPr>
                <w:rFonts w:ascii="arial" w:hAnsi="arial"/>
                <w:b/>
                <w:color w:val="D8D8D8"/>
                <w:sz w:val="24"/>
              </w:rPr>
            </w:pPr>
            <w:r>
              <w:rPr>
                <w:rFonts w:ascii="arial" w:hAnsi="arial"/>
                <w:b/>
                <w:color w:val="D8D8D8"/>
                <w:sz w:val="24"/>
              </w:rPr>
              <w:t>ANNUAL MEETING OF STOCKHOLDERS</w:t>
            </w:r>
          </w:p>
          <w:p>
            <w:pPr>
              <w:pStyle w:val="TableContents"/>
              <w:spacing w:before="0" w:after="20"/>
              <w:jc w:val="center"/>
              <w:rPr>
                <w:rFonts w:ascii="arial" w:hAnsi="arial"/>
                <w:b/>
                <w:color w:val="D8D8D8"/>
                <w:sz w:val="16"/>
              </w:rPr>
            </w:pPr>
            <w:r>
              <w:rPr>
                <w:rFonts w:ascii="arial" w:hAnsi="arial"/>
                <w:b/>
                <w:color w:val="D8D8D8"/>
                <w:sz w:val="16"/>
              </w:rPr>
              <w:t>TO BE HELD MAY 7, 2021</w:t>
            </w:r>
          </w:p>
        </w:tc>
      </w:tr>
    </w:tbl>
    <w:p>
      <w:pPr>
        <w:pStyle w:val="TextBody"/>
        <w:spacing w:before="200" w:after="0"/>
        <w:jc w:val="both"/>
        <w:rPr>
          <w:rFonts w:ascii="arial" w:hAnsi="arial"/>
          <w:sz w:val="18"/>
        </w:rPr>
      </w:pPr>
      <w:r>
        <w:rPr>
          <w:rFonts w:ascii="arial" w:hAnsi="arial"/>
          <w:sz w:val="18"/>
        </w:rPr>
        <w:t xml:space="preserve">We are taking advantage of the Securities and Exchange Commission (SEC) rules that allow companies to furnish proxy materials to their shareholders over the Internet. On or about March 26, 2021, we mailed to shareholders of record on the record date a Notice of Internet Availability of Proxy Materials (the Notice) containing instructions on how to access this Proxy Statement and our Annual Report to Stockholders online. If you received a Notice by mail, you will not automatically receive a printed copy of our proxy materials in the mail. You may request a paper copy of our proxy materials by mail or an electronic copy by e-mail by following the instructions listed on the Notice. The Notice also contains instructions for voting over the Internet. </w:t>
      </w:r>
    </w:p>
    <w:p>
      <w:pPr>
        <w:pStyle w:val="TextBody"/>
        <w:spacing w:before="200" w:after="0"/>
        <w:jc w:val="both"/>
        <w:rPr>
          <w:rFonts w:ascii="arial" w:hAnsi="arial"/>
          <w:b/>
          <w:color w:val="00548B"/>
          <w:sz w:val="24"/>
        </w:rPr>
      </w:pPr>
      <w:bookmarkStart w:id="3" w:name="toc170561_1"/>
      <w:bookmarkEnd w:id="3"/>
      <w:r>
        <w:rPr>
          <w:rFonts w:ascii="arial" w:hAnsi="arial"/>
          <w:b/>
          <w:color w:val="00548B"/>
          <w:sz w:val="24"/>
        </w:rPr>
        <w:t xml:space="preserve">GENERAL INFORMATION ABOUT THE MEETING </w:t>
      </w:r>
    </w:p>
    <w:p>
      <w:pPr>
        <w:pStyle w:val="TextBody"/>
        <w:spacing w:before="200" w:after="0"/>
        <w:jc w:val="both"/>
        <w:rPr>
          <w:rFonts w:ascii="arial" w:hAnsi="arial"/>
          <w:b/>
          <w:color w:val="00548B"/>
          <w:sz w:val="20"/>
        </w:rPr>
      </w:pPr>
      <w:bookmarkStart w:id="4" w:name="toc170561_2"/>
      <w:bookmarkEnd w:id="4"/>
      <w:r>
        <w:rPr>
          <w:rFonts w:ascii="arial" w:hAnsi="arial"/>
          <w:b/>
          <w:color w:val="00548B"/>
          <w:sz w:val="20"/>
        </w:rPr>
        <w:t>Q</w:t>
      </w:r>
      <w:r>
        <w:rPr>
          <w:rFonts w:ascii="arial" w:hAnsi="arial"/>
          <w:b/>
          <w:color w:val="00548B"/>
          <w:sz w:val="14"/>
        </w:rPr>
        <w:t>UORUM</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V</w:t>
      </w:r>
      <w:r>
        <w:rPr>
          <w:rFonts w:ascii="arial" w:hAnsi="arial"/>
          <w:b/>
          <w:color w:val="00548B"/>
          <w:sz w:val="14"/>
        </w:rPr>
        <w:t>OTING</w:t>
      </w:r>
      <w:r>
        <w:rPr>
          <w:rFonts w:ascii="arial" w:hAnsi="arial"/>
          <w:b/>
          <w:color w:val="00548B"/>
          <w:sz w:val="20"/>
        </w:rPr>
        <w:t xml:space="preserve"> R</w:t>
      </w:r>
      <w:r>
        <w:rPr>
          <w:rFonts w:ascii="arial" w:hAnsi="arial"/>
          <w:b/>
          <w:color w:val="00548B"/>
          <w:sz w:val="14"/>
        </w:rPr>
        <w:t>EQUIREMENTS</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Company has one class of common stock. Each share of common stock is entitled to one vote on each matter to be voted upon at the Annual Meeting. Stockholders do not have the right to cumulate votes in the election of directors. Only stockholders of record at the close of business on March 8, 2021 (the Record Date) will be entitled to vote at the Annual Meeting. As of the Record Date, there were 23,039,313 shares of common stock issued and outstanding. </w:t>
      </w:r>
    </w:p>
    <w:p>
      <w:pPr>
        <w:pStyle w:val="TextBody"/>
        <w:spacing w:before="200" w:after="0"/>
        <w:jc w:val="both"/>
        <w:rPr>
          <w:rFonts w:ascii="arial" w:hAnsi="arial"/>
          <w:sz w:val="18"/>
        </w:rPr>
      </w:pPr>
      <w:r>
        <w:rPr>
          <w:rFonts w:ascii="arial" w:hAnsi="arial"/>
          <w:sz w:val="18"/>
        </w:rPr>
        <w:t xml:space="preserve">The proxy is solicited from the holders of record of the common stock on behalf of the board of directors of the Company and is revocable at any time by giving written notice of revocation to the Secretary of the Company prior to the Annual Meeting or by executing and delivering a later-dated proxy by mail prior to the Annual Meeting. Furthermore, the stockholders of record who are present at the Annual Meeting may revoke their proxies and vote at the Annual Meeting. </w:t>
      </w:r>
    </w:p>
    <w:p>
      <w:pPr>
        <w:pStyle w:val="TextBody"/>
        <w:spacing w:before="200" w:after="0"/>
        <w:jc w:val="both"/>
        <w:rPr>
          <w:rFonts w:ascii="arial" w:hAnsi="arial"/>
          <w:sz w:val="18"/>
        </w:rPr>
      </w:pPr>
      <w:r>
        <w:rPr>
          <w:rFonts w:ascii="arial" w:hAnsi="arial"/>
          <w:sz w:val="18"/>
        </w:rPr>
        <w:t xml:space="preserve">If your shares are held in a bank or brokerage account, you will receive proxy materials from your bank or broker, which will include a voting instruction form. If you would like to revoke voting instructions given to your bank or broker, you must follow its instructions. If you would like to attend the Annual Meeting and vote these shares at the Annual Meeting, you must obtain a proxy from your bank or broker. You must request the proxy from your bank or broker; it will not automatically supply one to you. </w:t>
      </w:r>
    </w:p>
    <w:p>
      <w:pPr>
        <w:pStyle w:val="TextBody"/>
        <w:spacing w:before="200" w:after="0"/>
        <w:jc w:val="both"/>
        <w:rPr>
          <w:rFonts w:ascii="arial" w:hAnsi="arial"/>
          <w:sz w:val="18"/>
        </w:rPr>
      </w:pPr>
      <w:r>
        <w:rPr>
          <w:rFonts w:ascii="arial" w:hAnsi="arial"/>
          <w:sz w:val="18"/>
        </w:rPr>
        <w:t xml:space="preserve">All shares of the Companys common stock represented by properly executed and unrevoked proxies will be voted by the proxies in accordance with the directions given therein. Where no instructions are indicated, properly executed proxies will be voted FOR the proposals set forth in this Proxy Statement for consideration at the Annual Meeting. </w:t>
      </w:r>
    </w:p>
    <w:p>
      <w:pPr>
        <w:pStyle w:val="TextBody"/>
        <w:spacing w:before="200" w:after="0"/>
        <w:jc w:val="both"/>
        <w:rPr>
          <w:rFonts w:ascii="arial" w:hAnsi="arial"/>
          <w:sz w:val="18"/>
        </w:rPr>
      </w:pPr>
      <w:r>
        <w:rPr>
          <w:rFonts w:ascii="arial" w:hAnsi="arial"/>
          <w:sz w:val="18"/>
        </w:rPr>
        <w:t xml:space="preserve">A quorum, consisting of at least one-third of shares of common stock issued and outstanding, must be present at the meeting for any business to be conducted. Shares of common stock entitled to vote and represented by properly executed, returned and unrevoked proxies, including shares with respect to which votes are withheld, abstentions are cast or there are broker non-votes on some proposals but not others, will be considered present at the meeting for purposes of determining a quorum.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0548B"/>
          <w:sz w:val="16"/>
        </w:rPr>
      </w:pPr>
      <w:bookmarkStart w:id="5" w:name="toc170561_3"/>
      <w:bookmarkEnd w:id="5"/>
      <w:r>
        <w:rPr>
          <w:rFonts w:ascii="arial" w:hAnsi="arial"/>
          <w:b/>
          <w:color w:val="00548B"/>
          <w:sz w:val="16"/>
        </w:rPr>
        <w:t xml:space="preserve">PROPOSAL 1 </w:t>
      </w:r>
    </w:p>
    <w:p>
      <w:pPr>
        <w:pStyle w:val="TextBody"/>
        <w:spacing w:before="0" w:after="0"/>
        <w:jc w:val="both"/>
        <w:rPr>
          <w:rFonts w:ascii="arial" w:hAnsi="arial"/>
          <w:b/>
          <w:color w:val="00548B"/>
          <w:sz w:val="24"/>
        </w:rPr>
      </w:pPr>
      <w:r>
        <w:rPr>
          <w:rFonts w:ascii="arial" w:hAnsi="arial"/>
          <w:b/>
          <w:color w:val="00548B"/>
          <w:sz w:val="24"/>
        </w:rPr>
        <w:t xml:space="preserve">ELECTION OF DIRECTORS </w:t>
      </w:r>
    </w:p>
    <w:p>
      <w:pPr>
        <w:pStyle w:val="TextBody"/>
        <w:spacing w:before="400" w:after="0"/>
        <w:jc w:val="both"/>
        <w:rPr>
          <w:rFonts w:ascii="arial" w:hAnsi="arial"/>
          <w:b/>
          <w:color w:val="00548B"/>
          <w:sz w:val="20"/>
        </w:rPr>
      </w:pPr>
      <w:bookmarkStart w:id="6" w:name="toc170561_4"/>
      <w:bookmarkEnd w:id="6"/>
      <w:r>
        <w:rPr>
          <w:rFonts w:ascii="arial" w:hAnsi="arial"/>
          <w:b/>
          <w:color w:val="00548B"/>
          <w:sz w:val="20"/>
        </w:rPr>
        <w:t>B</w:t>
      </w:r>
      <w:r>
        <w:rPr>
          <w:rFonts w:ascii="arial" w:hAnsi="arial"/>
          <w:b/>
          <w:color w:val="00548B"/>
          <w:sz w:val="14"/>
        </w:rPr>
        <w:t>OARD</w:t>
      </w:r>
      <w:r>
        <w:rPr>
          <w:rFonts w:ascii="arial" w:hAnsi="arial"/>
          <w:b/>
          <w:color w:val="00548B"/>
          <w:sz w:val="20"/>
        </w:rPr>
        <w:t xml:space="preserve"> </w:t>
      </w:r>
      <w:r>
        <w:rPr>
          <w:rFonts w:ascii="arial" w:hAnsi="arial"/>
          <w:b/>
          <w:color w:val="00548B"/>
          <w:sz w:val="14"/>
        </w:rPr>
        <w:t>OF</w:t>
      </w:r>
      <w:r>
        <w:rPr>
          <w:rFonts w:ascii="arial" w:hAnsi="arial"/>
          <w:b/>
          <w:color w:val="00548B"/>
          <w:sz w:val="20"/>
        </w:rPr>
        <w:t xml:space="preserve"> D</w:t>
      </w:r>
      <w:r>
        <w:rPr>
          <w:rFonts w:ascii="arial" w:hAnsi="arial"/>
          <w:b/>
          <w:color w:val="00548B"/>
          <w:sz w:val="14"/>
        </w:rPr>
        <w:t>IRECTORS</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Companys third amended and restated certificate of incorporation divides the Companys board of directors into three classes, with each class being elected to a three-year term. </w:t>
      </w:r>
    </w:p>
    <w:p>
      <w:pPr>
        <w:pStyle w:val="TextBody"/>
        <w:spacing w:before="200" w:after="0"/>
        <w:jc w:val="both"/>
        <w:rPr>
          <w:rFonts w:ascii="arial" w:hAnsi="arial"/>
          <w:sz w:val="18"/>
        </w:rPr>
      </w:pPr>
      <w:r>
        <w:rPr>
          <w:rFonts w:ascii="arial" w:hAnsi="arial"/>
          <w:sz w:val="18"/>
        </w:rPr>
        <w:t xml:space="preserve">The board of directors has nominated Hugh E. Sawyer and Debra Zumwalt as Class II Directors to be voted upon at the 2021 Annual Meeting. John McCartney and Ekta Singh-Bushell are Class III Directors serving terms ending at the 2022 Annual Meeting. James H. Roth and H. Eugene Lockhart are Class I Directors serving terms ending at the 2023 Annual Meeting. </w:t>
      </w:r>
    </w:p>
    <w:p>
      <w:pPr>
        <w:pStyle w:val="TextBody"/>
        <w:spacing w:before="200" w:after="0"/>
        <w:jc w:val="both"/>
        <w:rPr>
          <w:rFonts w:ascii="arial" w:hAnsi="arial"/>
          <w:sz w:val="18"/>
        </w:rPr>
      </w:pPr>
      <w:r>
        <w:rPr>
          <w:rFonts w:ascii="arial" w:hAnsi="arial"/>
          <w:sz w:val="18"/>
        </w:rPr>
        <w:t xml:space="preserve">This Proxy Statement relates only to the solicitation of proxies from the stockholders with respect to the election of the two nominees as Class II Directors and the other matters described herein. The board of directors knows of no reason that Mr. Sawyer and Ms. Zumwalt might be unavailable to serve as the Class II Directors, and each has expressed an intention to serve, if elected. If Mr. Sawyer or Ms. Zumwalt is unable to serve, the shares represented by all valid proxies will be voted FOR the election of such substitute nominee as the board of directors may recommend. There are no arrangements or understandings between any of the persons nominated to be a Class II Director and any other person pursuant to which any of such nominees were selected. </w:t>
      </w:r>
    </w:p>
    <w:p>
      <w:pPr>
        <w:pStyle w:val="TextBody"/>
        <w:spacing w:before="200" w:after="0"/>
        <w:jc w:val="both"/>
        <w:rPr>
          <w:rFonts w:ascii="arial" w:hAnsi="arial"/>
          <w:sz w:val="18"/>
        </w:rPr>
      </w:pPr>
      <w:r>
        <w:rPr>
          <w:rFonts w:ascii="arial" w:hAnsi="arial"/>
          <w:sz w:val="18"/>
        </w:rPr>
        <w:t xml:space="preserve">The election of a director requires the affirmative vote of a plurality of the shares of common stock present in person or represented by proxy at the Annual Meeting that are voted, provided that a quorum is represented at the meeting. A plurality means that the individuals who receive the largest number of votes are elected as directors up to the maximum number of directors to be elected at the meeting. Therefore, abstentions and broker non-votes will have no impact on the election of directors. Properly executed proxies submitted pursuant to this solicitation will be voted FOR the election of Mr. Sawyer and Ms. Zumwalt as Class II Directors, unless specified otherwise. </w:t>
      </w:r>
    </w:p>
    <w:p>
      <w:pPr>
        <w:pStyle w:val="TextBody"/>
        <w:spacing w:before="200" w:after="0"/>
        <w:jc w:val="both"/>
        <w:rPr>
          <w:rFonts w:ascii="arial" w:hAnsi="arial"/>
          <w:sz w:val="18"/>
        </w:rPr>
      </w:pPr>
      <w:r>
        <w:rPr>
          <w:rFonts w:ascii="arial" w:hAnsi="arial"/>
          <w:sz w:val="18"/>
        </w:rPr>
        <w:t>THE BOARD OF DIRECTORS RECOMMENDS THAT STOCKHOLDERS VOTE </w:t>
      </w:r>
      <w:r>
        <w:rPr>
          <w:rFonts w:ascii="arial" w:hAnsi="arial"/>
          <w:b/>
          <w:sz w:val="18"/>
        </w:rPr>
        <w:t>FOR</w:t>
      </w:r>
      <w:r>
        <w:rPr>
          <w:rFonts w:ascii="arial" w:hAnsi="arial"/>
          <w:sz w:val="18"/>
        </w:rPr>
        <w:t xml:space="preserve"> THE ELECTION OF MR. SAWYER AND MS. ZUMWALT AS CLASS II DIRECTORS. </w:t>
      </w:r>
    </w:p>
    <w:p>
      <w:pPr>
        <w:pStyle w:val="TextBody"/>
        <w:spacing w:before="200" w:after="0"/>
        <w:jc w:val="both"/>
        <w:rPr>
          <w:rFonts w:ascii="arial" w:hAnsi="arial"/>
          <w:b/>
          <w:color w:val="00548B"/>
          <w:sz w:val="20"/>
        </w:rPr>
      </w:pPr>
      <w:bookmarkStart w:id="7" w:name="toc170561_5"/>
      <w:bookmarkEnd w:id="7"/>
      <w:r>
        <w:rPr>
          <w:rFonts w:ascii="arial" w:hAnsi="arial"/>
          <w:b/>
          <w:color w:val="00548B"/>
          <w:sz w:val="20"/>
        </w:rPr>
        <w:t>A</w:t>
      </w:r>
      <w:r>
        <w:rPr>
          <w:rFonts w:ascii="arial" w:hAnsi="arial"/>
          <w:b/>
          <w:color w:val="00548B"/>
          <w:sz w:val="14"/>
        </w:rPr>
        <w:t>BOUT</w:t>
      </w:r>
      <w:r>
        <w:rPr>
          <w:rFonts w:ascii="arial" w:hAnsi="arial"/>
          <w:b/>
          <w:color w:val="00548B"/>
          <w:sz w:val="20"/>
        </w:rPr>
        <w:t xml:space="preserve"> </w:t>
      </w:r>
      <w:r>
        <w:rPr>
          <w:rFonts w:ascii="arial" w:hAnsi="arial"/>
          <w:b/>
          <w:color w:val="00548B"/>
          <w:sz w:val="14"/>
        </w:rPr>
        <w:t>THE</w:t>
      </w:r>
      <w:r>
        <w:rPr>
          <w:rFonts w:ascii="arial" w:hAnsi="arial"/>
          <w:b/>
          <w:color w:val="00548B"/>
          <w:sz w:val="20"/>
        </w:rPr>
        <w:t xml:space="preserve"> B</w:t>
      </w:r>
      <w:r>
        <w:rPr>
          <w:rFonts w:ascii="arial" w:hAnsi="arial"/>
          <w:b/>
          <w:color w:val="00548B"/>
          <w:sz w:val="14"/>
        </w:rPr>
        <w:t>OARD</w:t>
      </w:r>
      <w:r>
        <w:rPr>
          <w:rFonts w:ascii="arial" w:hAnsi="arial"/>
          <w:b/>
          <w:color w:val="00548B"/>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06"/>
        <w:gridCol w:w="97"/>
        <w:gridCol w:w="3060"/>
        <w:gridCol w:w="97"/>
        <w:gridCol w:w="984"/>
        <w:gridCol w:w="97"/>
        <w:gridCol w:w="1525"/>
        <w:gridCol w:w="97"/>
        <w:gridCol w:w="411"/>
        <w:gridCol w:w="97"/>
        <w:gridCol w:w="443"/>
        <w:gridCol w:w="97"/>
        <w:gridCol w:w="544"/>
        <w:gridCol w:w="97"/>
        <w:gridCol w:w="553"/>
      </w:tblGrid>
      <w:tr>
        <w:trPr/>
        <w:tc>
          <w:tcPr>
            <w:tcW w:w="2006"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3060"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98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1525"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411"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443"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544" w:type="dxa"/>
            <w:tcBorders/>
            <w:shd w:fill="auto" w:val="clear"/>
            <w:vAlign w:val="center"/>
          </w:tcPr>
          <w:p>
            <w:pPr>
              <w:pStyle w:val="TableContents"/>
              <w:spacing w:before="0" w:after="283"/>
              <w:rPr>
                <w:sz w:val="4"/>
                <w:szCs w:val="4"/>
              </w:rPr>
            </w:pPr>
            <w:r>
              <w:rPr>
                <w:sz w:val="4"/>
                <w:szCs w:val="4"/>
              </w:rPr>
            </w:r>
          </w:p>
        </w:tc>
        <w:tc>
          <w:tcPr>
            <w:tcW w:w="97" w:type="dxa"/>
            <w:tcBorders/>
            <w:shd w:fill="auto" w:val="clear"/>
            <w:vAlign w:val="bottom"/>
          </w:tcPr>
          <w:p>
            <w:pPr>
              <w:pStyle w:val="TableContents"/>
              <w:spacing w:before="0" w:after="283"/>
              <w:rPr>
                <w:sz w:val="4"/>
                <w:szCs w:val="4"/>
              </w:rPr>
            </w:pPr>
            <w:r>
              <w:rPr>
                <w:sz w:val="4"/>
                <w:szCs w:val="4"/>
              </w:rPr>
            </w:r>
          </w:p>
        </w:tc>
        <w:tc>
          <w:tcPr>
            <w:tcW w:w="553" w:type="dxa"/>
            <w:tcBorders/>
            <w:shd w:fill="auto" w:val="clear"/>
            <w:vAlign w:val="center"/>
          </w:tcPr>
          <w:p>
            <w:pPr>
              <w:pStyle w:val="TableContents"/>
              <w:spacing w:before="0" w:after="283"/>
              <w:rPr>
                <w:sz w:val="4"/>
                <w:szCs w:val="4"/>
              </w:rPr>
            </w:pPr>
            <w:r>
              <w:rPr>
                <w:sz w:val="4"/>
                <w:szCs w:val="4"/>
              </w:rPr>
            </w:r>
          </w:p>
        </w:tc>
      </w:tr>
      <w:tr>
        <w:trPr/>
        <w:tc>
          <w:tcPr>
            <w:tcW w:w="2006" w:type="dxa"/>
            <w:tcBorders/>
            <w:shd w:fill="00548B" w:val="clear"/>
            <w:vAlign w:val="bottom"/>
          </w:tcPr>
          <w:p>
            <w:pPr>
              <w:pStyle w:val="TableContents"/>
              <w:spacing w:before="0" w:after="283"/>
              <w:rPr/>
            </w:pPr>
            <w:r>
              <w:rPr/>
              <w:t> </w:t>
            </w:r>
          </w:p>
        </w:tc>
        <w:tc>
          <w:tcPr>
            <w:tcW w:w="97" w:type="dxa"/>
            <w:tcBorders/>
            <w:shd w:fill="00548B" w:val="clear"/>
            <w:vAlign w:val="bottom"/>
          </w:tcPr>
          <w:p>
            <w:pPr>
              <w:pStyle w:val="TableContents"/>
              <w:spacing w:before="0" w:after="283"/>
              <w:rPr/>
            </w:pPr>
            <w:r>
              <w:rPr/>
              <w:t> </w:t>
            </w:r>
          </w:p>
        </w:tc>
        <w:tc>
          <w:tcPr>
            <w:tcW w:w="3060" w:type="dxa"/>
            <w:tcBorders/>
            <w:shd w:fill="00548B" w:val="clear"/>
            <w:vAlign w:val="bottom"/>
          </w:tcPr>
          <w:p>
            <w:pPr>
              <w:pStyle w:val="TableContents"/>
              <w:spacing w:before="0" w:after="283"/>
              <w:rPr/>
            </w:pPr>
            <w:r>
              <w:rPr/>
              <w:t> </w:t>
            </w:r>
          </w:p>
        </w:tc>
        <w:tc>
          <w:tcPr>
            <w:tcW w:w="97" w:type="dxa"/>
            <w:vMerge w:val="restart"/>
            <w:tcBorders>
              <w:bottom w:val="single" w:sz="8" w:space="0" w:color="00548B"/>
            </w:tcBorders>
            <w:shd w:fill="00548B" w:val="clear"/>
            <w:tcMar>
              <w:bottom w:w="28" w:type="dxa"/>
            </w:tcMar>
            <w:vAlign w:val="bottom"/>
          </w:tcPr>
          <w:p>
            <w:pPr>
              <w:pStyle w:val="TableContents"/>
              <w:spacing w:before="0" w:after="283"/>
              <w:rPr/>
            </w:pPr>
            <w:r>
              <w:rPr/>
              <w:t> </w:t>
            </w:r>
          </w:p>
        </w:tc>
        <w:tc>
          <w:tcPr>
            <w:tcW w:w="984" w:type="dxa"/>
            <w:vMerge w:val="restart"/>
            <w:tcBorders>
              <w:bottom w:val="single" w:sz="8" w:space="0" w:color="00548B"/>
            </w:tcBorders>
            <w:shd w:fill="00548B" w:val="clear"/>
            <w:tcMar>
              <w:bottom w:w="28" w:type="dxa"/>
            </w:tcMar>
            <w:vAlign w:val="bottom"/>
          </w:tcPr>
          <w:p>
            <w:pPr>
              <w:pStyle w:val="TableContents"/>
              <w:spacing w:before="0" w:after="283"/>
              <w:jc w:val="center"/>
              <w:rPr>
                <w:b/>
                <w:color w:val="D8D8D8"/>
              </w:rPr>
            </w:pPr>
            <w:r>
              <w:rPr>
                <w:b/>
                <w:color w:val="D8D8D8"/>
              </w:rPr>
              <w:t>Class</w:t>
            </w:r>
          </w:p>
        </w:tc>
        <w:tc>
          <w:tcPr>
            <w:tcW w:w="97" w:type="dxa"/>
            <w:tcBorders/>
            <w:shd w:fill="00548B" w:val="clear"/>
            <w:vAlign w:val="bottom"/>
          </w:tcPr>
          <w:p>
            <w:pPr>
              <w:pStyle w:val="TableContents"/>
              <w:spacing w:before="0" w:after="283"/>
              <w:rPr/>
            </w:pPr>
            <w:r>
              <w:rPr/>
              <w:t> </w:t>
            </w:r>
          </w:p>
        </w:tc>
        <w:tc>
          <w:tcPr>
            <w:tcW w:w="1525" w:type="dxa"/>
            <w:tcBorders/>
            <w:shd w:fill="00548B" w:val="clear"/>
            <w:vAlign w:val="bottom"/>
          </w:tcPr>
          <w:p>
            <w:pPr>
              <w:pStyle w:val="TableContents"/>
              <w:spacing w:before="0" w:after="283"/>
              <w:rPr/>
            </w:pPr>
            <w:r>
              <w:rPr/>
              <w:t> </w:t>
            </w:r>
          </w:p>
        </w:tc>
        <w:tc>
          <w:tcPr>
            <w:tcW w:w="97" w:type="dxa"/>
            <w:tcBorders/>
            <w:shd w:fill="00548B" w:val="clear"/>
            <w:vAlign w:val="bottom"/>
          </w:tcPr>
          <w:p>
            <w:pPr>
              <w:pStyle w:val="TableContents"/>
              <w:spacing w:before="0" w:after="283"/>
              <w:rPr/>
            </w:pPr>
            <w:r>
              <w:rPr/>
              <w:t> </w:t>
            </w:r>
          </w:p>
        </w:tc>
        <w:tc>
          <w:tcPr>
            <w:tcW w:w="1592" w:type="dxa"/>
            <w:gridSpan w:val="5"/>
            <w:tcBorders/>
            <w:shd w:fill="00548B" w:val="clear"/>
            <w:vAlign w:val="bottom"/>
          </w:tcPr>
          <w:p>
            <w:pPr>
              <w:pStyle w:val="TableContents"/>
              <w:spacing w:before="0" w:after="283"/>
              <w:jc w:val="center"/>
              <w:rPr>
                <w:b/>
                <w:color w:val="D8D8D8"/>
              </w:rPr>
            </w:pPr>
            <w:r>
              <w:rPr>
                <w:b/>
                <w:color w:val="D8D8D8"/>
              </w:rPr>
              <w:t>Committees</w:t>
            </w:r>
          </w:p>
        </w:tc>
        <w:tc>
          <w:tcPr>
            <w:tcW w:w="97" w:type="dxa"/>
            <w:vMerge w:val="restart"/>
            <w:tcBorders>
              <w:bottom w:val="single" w:sz="8" w:space="0" w:color="00548B"/>
            </w:tcBorders>
            <w:shd w:fill="00548B" w:val="clear"/>
            <w:tcMar>
              <w:bottom w:w="28" w:type="dxa"/>
            </w:tcMar>
            <w:vAlign w:val="bottom"/>
          </w:tcPr>
          <w:p>
            <w:pPr>
              <w:pStyle w:val="TableContents"/>
              <w:spacing w:before="0" w:after="283"/>
              <w:rPr/>
            </w:pPr>
            <w:r>
              <w:rPr/>
              <w:t> </w:t>
            </w:r>
          </w:p>
        </w:tc>
        <w:tc>
          <w:tcPr>
            <w:tcW w:w="553" w:type="dxa"/>
            <w:vMerge w:val="restart"/>
            <w:tcBorders>
              <w:bottom w:val="single" w:sz="8" w:space="0" w:color="00548B"/>
            </w:tcBorders>
            <w:shd w:fill="00548B" w:val="clear"/>
            <w:tcMar>
              <w:bottom w:w="28" w:type="dxa"/>
            </w:tcMar>
            <w:vAlign w:val="bottom"/>
          </w:tcPr>
          <w:p>
            <w:pPr>
              <w:pStyle w:val="TableContents"/>
              <w:spacing w:before="0" w:after="20"/>
              <w:jc w:val="center"/>
              <w:rPr>
                <w:rFonts w:ascii="arial" w:hAnsi="arial"/>
                <w:b/>
                <w:color w:val="D8D8D8"/>
                <w:sz w:val="15"/>
              </w:rPr>
            </w:pPr>
            <w:r>
              <w:rPr>
                <w:rFonts w:ascii="arial" w:hAnsi="arial"/>
                <w:b/>
                <w:color w:val="D8D8D8"/>
                <w:sz w:val="15"/>
              </w:rPr>
              <w:t>Tech</w:t>
            </w:r>
          </w:p>
        </w:tc>
      </w:tr>
      <w:tr>
        <w:trPr/>
        <w:tc>
          <w:tcPr>
            <w:tcW w:w="2006" w:type="dxa"/>
            <w:tcBorders>
              <w:bottom w:val="single" w:sz="8" w:space="0" w:color="00548B"/>
            </w:tcBorders>
            <w:shd w:fill="00548B" w:val="clear"/>
            <w:tcMar>
              <w:bottom w:w="28" w:type="dxa"/>
            </w:tcMar>
            <w:vAlign w:val="bottom"/>
          </w:tcPr>
          <w:p>
            <w:pPr>
              <w:pStyle w:val="TableContents"/>
              <w:spacing w:before="0" w:after="283"/>
              <w:rPr>
                <w:b/>
                <w:color w:val="D8D8D8"/>
              </w:rPr>
            </w:pPr>
            <w:r>
              <w:rPr>
                <w:b/>
                <w:color w:val="D8D8D8"/>
              </w:rPr>
              <w:t>Name</w:t>
            </w:r>
          </w:p>
        </w:tc>
        <w:tc>
          <w:tcPr>
            <w:tcW w:w="97" w:type="dxa"/>
            <w:tcBorders>
              <w:bottom w:val="single" w:sz="8" w:space="0" w:color="00548B"/>
            </w:tcBorders>
            <w:shd w:fill="00548B" w:val="clear"/>
            <w:tcMar>
              <w:bottom w:w="28" w:type="dxa"/>
            </w:tcMar>
            <w:vAlign w:val="bottom"/>
          </w:tcPr>
          <w:p>
            <w:pPr>
              <w:pStyle w:val="TableContents"/>
              <w:spacing w:before="0" w:after="283"/>
              <w:rPr/>
            </w:pPr>
            <w:r>
              <w:rPr/>
              <w:t> </w:t>
            </w:r>
          </w:p>
        </w:tc>
        <w:tc>
          <w:tcPr>
            <w:tcW w:w="3060" w:type="dxa"/>
            <w:tcBorders>
              <w:bottom w:val="single" w:sz="8" w:space="0" w:color="00548B"/>
            </w:tcBorders>
            <w:shd w:fill="00548B" w:val="clear"/>
            <w:tcMar>
              <w:bottom w:w="28" w:type="dxa"/>
            </w:tcMar>
            <w:vAlign w:val="bottom"/>
          </w:tcPr>
          <w:p>
            <w:pPr>
              <w:pStyle w:val="TableContents"/>
              <w:spacing w:before="0" w:after="283"/>
              <w:rPr>
                <w:b/>
                <w:color w:val="D8D8D8"/>
              </w:rPr>
            </w:pPr>
            <w:r>
              <w:rPr>
                <w:b/>
                <w:color w:val="D8D8D8"/>
              </w:rPr>
              <w:t>Principal Occupation</w:t>
            </w:r>
          </w:p>
        </w:tc>
        <w:tc>
          <w:tcPr>
            <w:tcW w:w="97" w:type="dxa"/>
            <w:vMerge w:val="continue"/>
            <w:tcBorders>
              <w:bottom w:val="single" w:sz="8" w:space="0" w:color="00548B"/>
            </w:tcBorders>
            <w:shd w:fill="00548B" w:val="clear"/>
            <w:tcMar>
              <w:bottom w:w="28" w:type="dxa"/>
            </w:tcMar>
            <w:vAlign w:val="bottom"/>
          </w:tcPr>
          <w:p>
            <w:pPr>
              <w:pStyle w:val="Normal"/>
              <w:rPr/>
            </w:pPr>
            <w:r>
              <w:rPr/>
            </w:r>
          </w:p>
        </w:tc>
        <w:tc>
          <w:tcPr>
            <w:tcW w:w="984" w:type="dxa"/>
            <w:vMerge w:val="continue"/>
            <w:tcBorders>
              <w:bottom w:val="single" w:sz="8" w:space="0" w:color="00548B"/>
            </w:tcBorders>
            <w:shd w:fill="00548B" w:val="clear"/>
            <w:tcMar>
              <w:bottom w:w="28" w:type="dxa"/>
            </w:tcMar>
            <w:vAlign w:val="bottom"/>
          </w:tcPr>
          <w:p>
            <w:pPr>
              <w:pStyle w:val="Normal"/>
              <w:rPr/>
            </w:pPr>
            <w:r>
              <w:rPr/>
            </w:r>
          </w:p>
        </w:tc>
        <w:tc>
          <w:tcPr>
            <w:tcW w:w="97" w:type="dxa"/>
            <w:tcBorders>
              <w:bottom w:val="single" w:sz="8" w:space="0" w:color="00548B"/>
            </w:tcBorders>
            <w:shd w:fill="00548B" w:val="clear"/>
            <w:tcMar>
              <w:bottom w:w="28" w:type="dxa"/>
            </w:tcMar>
            <w:vAlign w:val="bottom"/>
          </w:tcPr>
          <w:p>
            <w:pPr>
              <w:pStyle w:val="TableContents"/>
              <w:spacing w:before="0" w:after="283"/>
              <w:rPr/>
            </w:pPr>
            <w:r>
              <w:rPr/>
              <w:t> </w:t>
            </w:r>
          </w:p>
        </w:tc>
        <w:tc>
          <w:tcPr>
            <w:tcW w:w="1525" w:type="dxa"/>
            <w:tcBorders>
              <w:bottom w:val="single" w:sz="8" w:space="0" w:color="00548B"/>
            </w:tcBorders>
            <w:shd w:fill="00548B" w:val="clear"/>
            <w:tcMar>
              <w:bottom w:w="28" w:type="dxa"/>
            </w:tcMar>
            <w:vAlign w:val="bottom"/>
          </w:tcPr>
          <w:p>
            <w:pPr>
              <w:pStyle w:val="TableContents"/>
              <w:spacing w:before="0" w:after="283"/>
              <w:jc w:val="center"/>
              <w:rPr>
                <w:b/>
                <w:color w:val="D8D8D8"/>
              </w:rPr>
            </w:pPr>
            <w:r>
              <w:rPr>
                <w:b/>
                <w:color w:val="D8D8D8"/>
              </w:rPr>
              <w:t>Independent</w:t>
            </w:r>
          </w:p>
        </w:tc>
        <w:tc>
          <w:tcPr>
            <w:tcW w:w="97" w:type="dxa"/>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rPr/>
            </w:pPr>
            <w:r>
              <w:rPr/>
              <w:t> </w:t>
            </w:r>
          </w:p>
        </w:tc>
        <w:tc>
          <w:tcPr>
            <w:tcW w:w="411" w:type="dxa"/>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jc w:val="center"/>
              <w:rPr>
                <w:b/>
                <w:color w:val="D8D8D8"/>
              </w:rPr>
            </w:pPr>
            <w:r>
              <w:rPr>
                <w:b/>
                <w:color w:val="D8D8D8"/>
              </w:rPr>
              <w:t>A</w:t>
            </w:r>
          </w:p>
        </w:tc>
        <w:tc>
          <w:tcPr>
            <w:tcW w:w="97" w:type="dxa"/>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rPr/>
            </w:pPr>
            <w:r>
              <w:rPr/>
              <w:t> </w:t>
            </w:r>
          </w:p>
        </w:tc>
        <w:tc>
          <w:tcPr>
            <w:tcW w:w="443" w:type="dxa"/>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jc w:val="center"/>
              <w:rPr>
                <w:b/>
                <w:color w:val="D8D8D8"/>
              </w:rPr>
            </w:pPr>
            <w:r>
              <w:rPr>
                <w:b/>
                <w:color w:val="D8D8D8"/>
              </w:rPr>
              <w:t>C</w:t>
            </w:r>
          </w:p>
        </w:tc>
        <w:tc>
          <w:tcPr>
            <w:tcW w:w="97" w:type="dxa"/>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rPr/>
            </w:pPr>
            <w:r>
              <w:rPr/>
              <w:t> </w:t>
            </w:r>
          </w:p>
        </w:tc>
        <w:tc>
          <w:tcPr>
            <w:tcW w:w="544" w:type="dxa"/>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jc w:val="center"/>
              <w:rPr>
                <w:b/>
                <w:color w:val="D8D8D8"/>
              </w:rPr>
            </w:pPr>
            <w:r>
              <w:rPr>
                <w:b/>
                <w:color w:val="D8D8D8"/>
              </w:rPr>
              <w:t>N&amp;CG</w:t>
            </w:r>
          </w:p>
        </w:tc>
        <w:tc>
          <w:tcPr>
            <w:tcW w:w="97" w:type="dxa"/>
            <w:vMerge w:val="continue"/>
            <w:tcBorders>
              <w:bottom w:val="single" w:sz="8" w:space="0" w:color="00548B"/>
            </w:tcBorders>
            <w:shd w:fill="00548B" w:val="clear"/>
            <w:tcMar>
              <w:bottom w:w="28" w:type="dxa"/>
            </w:tcMar>
            <w:vAlign w:val="bottom"/>
          </w:tcPr>
          <w:p>
            <w:pPr>
              <w:pStyle w:val="Normal"/>
              <w:rPr/>
            </w:pPr>
            <w:r>
              <w:rPr/>
            </w:r>
          </w:p>
        </w:tc>
        <w:tc>
          <w:tcPr>
            <w:tcW w:w="553" w:type="dxa"/>
            <w:vMerge w:val="continue"/>
            <w:tcBorders>
              <w:bottom w:val="single" w:sz="8" w:space="0" w:color="00548B"/>
            </w:tcBorders>
            <w:shd w:fill="00548B" w:val="clear"/>
            <w:tcMar>
              <w:bottom w:w="28" w:type="dxa"/>
            </w:tcMar>
            <w:vAlign w:val="bottom"/>
          </w:tcPr>
          <w:p>
            <w:pPr>
              <w:pStyle w:val="Normal"/>
              <w:rPr/>
            </w:pPr>
            <w:r>
              <w:rPr/>
            </w:r>
          </w:p>
        </w:tc>
      </w:tr>
      <w:tr>
        <w:trPr/>
        <w:tc>
          <w:tcPr>
            <w:tcW w:w="2006" w:type="dxa"/>
            <w:tcBorders>
              <w:bottom w:val="single" w:sz="2" w:space="0" w:color="999999"/>
            </w:tcBorders>
            <w:shd w:fill="auto" w:val="clear"/>
            <w:tcMar>
              <w:bottom w:w="28" w:type="dxa"/>
            </w:tcMar>
          </w:tcPr>
          <w:p>
            <w:pPr>
              <w:pStyle w:val="TableContents"/>
              <w:spacing w:before="0" w:after="0"/>
              <w:rPr>
                <w:rFonts w:ascii="arial" w:hAnsi="arial"/>
                <w:b/>
                <w:color w:val="00548B"/>
                <w:sz w:val="16"/>
              </w:rPr>
            </w:pPr>
            <w:r>
              <w:rPr>
                <w:rFonts w:ascii="arial" w:hAnsi="arial"/>
                <w:b/>
                <w:color w:val="00548B"/>
                <w:sz w:val="16"/>
              </w:rPr>
              <w:t>Hugh E. Sawyer</w:t>
            </w:r>
          </w:p>
          <w:p>
            <w:pPr>
              <w:pStyle w:val="TableContents"/>
              <w:spacing w:before="0" w:after="20"/>
              <w:rPr>
                <w:rFonts w:ascii="arial" w:hAnsi="arial"/>
                <w:sz w:val="14"/>
              </w:rPr>
            </w:pPr>
            <w:r>
              <w:rPr>
                <w:rFonts w:ascii="arial" w:hAnsi="arial"/>
                <w:sz w:val="14"/>
              </w:rPr>
              <w:t>Age 66, Director since 2018</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3060" w:type="dxa"/>
            <w:tcBorders>
              <w:bottom w:val="single" w:sz="2" w:space="0" w:color="999999"/>
            </w:tcBorders>
            <w:shd w:fill="auto" w:val="clear"/>
            <w:tcMar>
              <w:bottom w:w="28" w:type="dxa"/>
            </w:tcMar>
          </w:tcPr>
          <w:p>
            <w:pPr>
              <w:pStyle w:val="TableContents"/>
              <w:spacing w:before="0" w:after="0"/>
              <w:jc w:val="both"/>
              <w:rPr>
                <w:rFonts w:ascii="arial" w:hAnsi="arial"/>
                <w:sz w:val="16"/>
              </w:rPr>
            </w:pPr>
            <w:r>
              <w:rPr>
                <w:rFonts w:ascii="arial" w:hAnsi="arial"/>
                <w:sz w:val="16"/>
              </w:rPr>
              <w:t>Retired President and Chief Executive Officer, Regis Corporation</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984" w:type="dxa"/>
            <w:tcBorders>
              <w:bottom w:val="single" w:sz="2" w:space="0" w:color="999999"/>
            </w:tcBorders>
            <w:shd w:fill="auto" w:val="clear"/>
            <w:tcMar>
              <w:bottom w:w="28" w:type="dxa"/>
            </w:tcMar>
          </w:tcPr>
          <w:p>
            <w:pPr>
              <w:pStyle w:val="TableContents"/>
              <w:spacing w:before="0" w:after="283"/>
              <w:jc w:val="center"/>
              <w:rPr>
                <w:rFonts w:ascii="arial" w:hAnsi="arial"/>
              </w:rPr>
            </w:pPr>
            <w:r>
              <w:rPr>
                <w:rFonts w:ascii="arial" w:hAnsi="arial"/>
              </w:rPr>
              <w:t>Class II</w:t>
              <w:br/>
              <w:t>2021</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525"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411"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443"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544" w:type="dxa"/>
            <w:tcBorders>
              <w:bottom w:val="single" w:sz="2" w:space="0" w:color="999999"/>
            </w:tcBorders>
            <w:shd w:fill="auto" w:val="clear"/>
            <w:tcMar>
              <w:bottom w:w="28" w:type="dxa"/>
            </w:tcMar>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553" w:type="dxa"/>
            <w:tcBorders>
              <w:bottom w:val="single" w:sz="2" w:space="0" w:color="999999"/>
            </w:tcBorders>
            <w:shd w:fill="auto" w:val="clear"/>
            <w:tcMar>
              <w:bottom w:w="28" w:type="dxa"/>
            </w:tcMar>
          </w:tcPr>
          <w:p>
            <w:pPr>
              <w:pStyle w:val="TableContents"/>
              <w:spacing w:before="0" w:after="283"/>
              <w:rPr/>
            </w:pPr>
            <w:r>
              <w:rPr/>
              <w:t> </w:t>
            </w:r>
          </w:p>
        </w:tc>
      </w:tr>
      <w:tr>
        <w:trPr/>
        <w:tc>
          <w:tcPr>
            <w:tcW w:w="2006" w:type="dxa"/>
            <w:tcBorders>
              <w:bottom w:val="single" w:sz="2" w:space="0" w:color="999999"/>
            </w:tcBorders>
            <w:shd w:fill="auto" w:val="clear"/>
            <w:tcMar>
              <w:bottom w:w="28" w:type="dxa"/>
            </w:tcMar>
          </w:tcPr>
          <w:p>
            <w:pPr>
              <w:pStyle w:val="TableContents"/>
              <w:spacing w:before="0" w:after="0"/>
              <w:rPr>
                <w:rFonts w:ascii="arial" w:hAnsi="arial"/>
                <w:b/>
                <w:color w:val="00548B"/>
                <w:sz w:val="16"/>
              </w:rPr>
            </w:pPr>
            <w:r>
              <w:rPr>
                <w:rFonts w:ascii="arial" w:hAnsi="arial"/>
                <w:b/>
                <w:color w:val="00548B"/>
                <w:sz w:val="16"/>
              </w:rPr>
              <w:t>Debra Zumwalt</w:t>
            </w:r>
          </w:p>
          <w:p>
            <w:pPr>
              <w:pStyle w:val="TableContents"/>
              <w:spacing w:before="0" w:after="20"/>
              <w:rPr>
                <w:rFonts w:ascii="arial" w:hAnsi="arial"/>
                <w:sz w:val="14"/>
              </w:rPr>
            </w:pPr>
            <w:r>
              <w:rPr>
                <w:rFonts w:ascii="arial" w:hAnsi="arial"/>
                <w:sz w:val="14"/>
              </w:rPr>
              <w:t>Age 65, Director since 2014</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3060" w:type="dxa"/>
            <w:tcBorders>
              <w:bottom w:val="single" w:sz="2" w:space="0" w:color="999999"/>
            </w:tcBorders>
            <w:shd w:fill="auto" w:val="clear"/>
            <w:tcMar>
              <w:bottom w:w="28" w:type="dxa"/>
            </w:tcMar>
          </w:tcPr>
          <w:p>
            <w:pPr>
              <w:pStyle w:val="TableContents"/>
              <w:spacing w:before="0" w:after="0"/>
              <w:jc w:val="both"/>
              <w:rPr>
                <w:rFonts w:ascii="arial" w:hAnsi="arial"/>
                <w:sz w:val="16"/>
              </w:rPr>
            </w:pPr>
            <w:r>
              <w:rPr>
                <w:rFonts w:ascii="arial" w:hAnsi="arial"/>
                <w:sz w:val="16"/>
              </w:rPr>
              <w:t>Vice President and General Counsel, Stanford University</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984" w:type="dxa"/>
            <w:tcBorders>
              <w:bottom w:val="single" w:sz="2" w:space="0" w:color="999999"/>
            </w:tcBorders>
            <w:shd w:fill="auto" w:val="clear"/>
            <w:tcMar>
              <w:bottom w:w="28" w:type="dxa"/>
            </w:tcMar>
          </w:tcPr>
          <w:p>
            <w:pPr>
              <w:pStyle w:val="TableContents"/>
              <w:spacing w:before="0" w:after="283"/>
              <w:jc w:val="center"/>
              <w:rPr>
                <w:rFonts w:ascii="arial" w:hAnsi="arial"/>
              </w:rPr>
            </w:pPr>
            <w:r>
              <w:rPr>
                <w:rFonts w:ascii="arial" w:hAnsi="arial"/>
              </w:rPr>
              <w:t>Class II</w:t>
              <w:br/>
              <w:t>2021</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525"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411" w:type="dxa"/>
            <w:tcBorders>
              <w:bottom w:val="single" w:sz="2" w:space="0" w:color="999999"/>
            </w:tcBorders>
            <w:shd w:fill="auto" w:val="clear"/>
            <w:tcMar>
              <w:bottom w:w="28" w:type="dxa"/>
            </w:tcMar>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443"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 🌑</w:t>
            </w:r>
            <w:r>
              <w:rPr>
                <w:color w:val="00548B"/>
              </w:rPr>
              <w:t>c</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544"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553"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r>
      <w:tr>
        <w:trPr/>
        <w:tc>
          <w:tcPr>
            <w:tcW w:w="2006" w:type="dxa"/>
            <w:tcBorders/>
            <w:shd w:fill="00548B" w:val="clear"/>
          </w:tcPr>
          <w:p>
            <w:pPr>
              <w:pStyle w:val="TableContents"/>
              <w:spacing w:before="0" w:after="0"/>
              <w:rPr>
                <w:rFonts w:ascii="arial" w:hAnsi="arial"/>
                <w:b/>
                <w:color w:val="D8D8D8"/>
                <w:sz w:val="16"/>
              </w:rPr>
            </w:pPr>
            <w:r>
              <w:rPr>
                <w:rFonts w:ascii="arial" w:hAnsi="arial"/>
                <w:b/>
                <w:color w:val="D8D8D8"/>
                <w:sz w:val="16"/>
              </w:rPr>
              <w:t>Not Standing for Election</w:t>
            </w:r>
          </w:p>
        </w:tc>
        <w:tc>
          <w:tcPr>
            <w:tcW w:w="97" w:type="dxa"/>
            <w:tcBorders/>
            <w:shd w:fill="00548B" w:val="clear"/>
            <w:vAlign w:val="bottom"/>
          </w:tcPr>
          <w:p>
            <w:pPr>
              <w:pStyle w:val="TableContents"/>
              <w:spacing w:before="0" w:after="283"/>
              <w:rPr/>
            </w:pPr>
            <w:r>
              <w:rPr/>
              <w:t> </w:t>
            </w:r>
          </w:p>
        </w:tc>
        <w:tc>
          <w:tcPr>
            <w:tcW w:w="3060" w:type="dxa"/>
            <w:tcBorders/>
            <w:shd w:fill="00548B" w:val="clear"/>
            <w:vAlign w:val="bottom"/>
          </w:tcPr>
          <w:p>
            <w:pPr>
              <w:pStyle w:val="TableContents"/>
              <w:spacing w:before="0" w:after="283"/>
              <w:rPr>
                <w:sz w:val="4"/>
                <w:szCs w:val="4"/>
              </w:rPr>
            </w:pPr>
            <w:r>
              <w:rPr>
                <w:sz w:val="4"/>
                <w:szCs w:val="4"/>
              </w:rPr>
            </w:r>
          </w:p>
        </w:tc>
        <w:tc>
          <w:tcPr>
            <w:tcW w:w="97" w:type="dxa"/>
            <w:tcBorders/>
            <w:shd w:fill="00548B" w:val="clear"/>
            <w:vAlign w:val="bottom"/>
          </w:tcPr>
          <w:p>
            <w:pPr>
              <w:pStyle w:val="TableContents"/>
              <w:spacing w:before="0" w:after="283"/>
              <w:rPr/>
            </w:pPr>
            <w:r>
              <w:rPr/>
              <w:t> </w:t>
            </w:r>
          </w:p>
        </w:tc>
        <w:tc>
          <w:tcPr>
            <w:tcW w:w="984" w:type="dxa"/>
            <w:tcBorders/>
            <w:shd w:fill="00548B" w:val="clear"/>
            <w:vAlign w:val="bottom"/>
          </w:tcPr>
          <w:p>
            <w:pPr>
              <w:pStyle w:val="TableContents"/>
              <w:spacing w:before="0" w:after="283"/>
              <w:rPr>
                <w:sz w:val="4"/>
                <w:szCs w:val="4"/>
              </w:rPr>
            </w:pPr>
            <w:r>
              <w:rPr>
                <w:sz w:val="4"/>
                <w:szCs w:val="4"/>
              </w:rPr>
            </w:r>
          </w:p>
        </w:tc>
        <w:tc>
          <w:tcPr>
            <w:tcW w:w="97" w:type="dxa"/>
            <w:tcBorders/>
            <w:shd w:fill="00548B" w:val="clear"/>
            <w:vAlign w:val="bottom"/>
          </w:tcPr>
          <w:p>
            <w:pPr>
              <w:pStyle w:val="TableContents"/>
              <w:spacing w:before="0" w:after="283"/>
              <w:rPr/>
            </w:pPr>
            <w:r>
              <w:rPr/>
              <w:t> </w:t>
            </w:r>
          </w:p>
        </w:tc>
        <w:tc>
          <w:tcPr>
            <w:tcW w:w="1525" w:type="dxa"/>
            <w:tcBorders/>
            <w:shd w:fill="00548B" w:val="clear"/>
            <w:vAlign w:val="bottom"/>
          </w:tcPr>
          <w:p>
            <w:pPr>
              <w:pStyle w:val="TableContents"/>
              <w:spacing w:before="0" w:after="283"/>
              <w:rPr>
                <w:sz w:val="4"/>
                <w:szCs w:val="4"/>
              </w:rPr>
            </w:pPr>
            <w:r>
              <w:rPr>
                <w:sz w:val="4"/>
                <w:szCs w:val="4"/>
              </w:rPr>
            </w:r>
          </w:p>
        </w:tc>
        <w:tc>
          <w:tcPr>
            <w:tcW w:w="97" w:type="dxa"/>
            <w:tcBorders/>
            <w:shd w:fill="00548B" w:val="clear"/>
            <w:vAlign w:val="bottom"/>
          </w:tcPr>
          <w:p>
            <w:pPr>
              <w:pStyle w:val="TableContents"/>
              <w:spacing w:before="0" w:after="283"/>
              <w:rPr/>
            </w:pPr>
            <w:r>
              <w:rPr/>
              <w:t> </w:t>
            </w:r>
          </w:p>
        </w:tc>
        <w:tc>
          <w:tcPr>
            <w:tcW w:w="411" w:type="dxa"/>
            <w:tcBorders/>
            <w:shd w:fill="00548B" w:val="clear"/>
            <w:vAlign w:val="bottom"/>
          </w:tcPr>
          <w:p>
            <w:pPr>
              <w:pStyle w:val="TableContents"/>
              <w:spacing w:before="0" w:after="283"/>
              <w:rPr>
                <w:sz w:val="4"/>
                <w:szCs w:val="4"/>
              </w:rPr>
            </w:pPr>
            <w:r>
              <w:rPr>
                <w:sz w:val="4"/>
                <w:szCs w:val="4"/>
              </w:rPr>
            </w:r>
          </w:p>
        </w:tc>
        <w:tc>
          <w:tcPr>
            <w:tcW w:w="97" w:type="dxa"/>
            <w:tcBorders/>
            <w:shd w:fill="00548B" w:val="clear"/>
            <w:vAlign w:val="bottom"/>
          </w:tcPr>
          <w:p>
            <w:pPr>
              <w:pStyle w:val="TableContents"/>
              <w:spacing w:before="0" w:after="283"/>
              <w:rPr/>
            </w:pPr>
            <w:r>
              <w:rPr/>
              <w:t> </w:t>
            </w:r>
          </w:p>
        </w:tc>
        <w:tc>
          <w:tcPr>
            <w:tcW w:w="443" w:type="dxa"/>
            <w:tcBorders/>
            <w:shd w:fill="00548B" w:val="clear"/>
            <w:vAlign w:val="bottom"/>
          </w:tcPr>
          <w:p>
            <w:pPr>
              <w:pStyle w:val="TableContents"/>
              <w:spacing w:before="0" w:after="283"/>
              <w:rPr>
                <w:sz w:val="4"/>
                <w:szCs w:val="4"/>
              </w:rPr>
            </w:pPr>
            <w:r>
              <w:rPr>
                <w:sz w:val="4"/>
                <w:szCs w:val="4"/>
              </w:rPr>
            </w:r>
          </w:p>
        </w:tc>
        <w:tc>
          <w:tcPr>
            <w:tcW w:w="97" w:type="dxa"/>
            <w:tcBorders/>
            <w:shd w:fill="00548B" w:val="clear"/>
            <w:vAlign w:val="bottom"/>
          </w:tcPr>
          <w:p>
            <w:pPr>
              <w:pStyle w:val="TableContents"/>
              <w:spacing w:before="0" w:after="283"/>
              <w:rPr/>
            </w:pPr>
            <w:r>
              <w:rPr/>
              <w:t> </w:t>
            </w:r>
          </w:p>
        </w:tc>
        <w:tc>
          <w:tcPr>
            <w:tcW w:w="544" w:type="dxa"/>
            <w:tcBorders/>
            <w:shd w:fill="00548B" w:val="clear"/>
            <w:vAlign w:val="bottom"/>
          </w:tcPr>
          <w:p>
            <w:pPr>
              <w:pStyle w:val="TableContents"/>
              <w:spacing w:before="0" w:after="283"/>
              <w:rPr>
                <w:sz w:val="4"/>
                <w:szCs w:val="4"/>
              </w:rPr>
            </w:pPr>
            <w:r>
              <w:rPr>
                <w:sz w:val="4"/>
                <w:szCs w:val="4"/>
              </w:rPr>
            </w:r>
          </w:p>
        </w:tc>
        <w:tc>
          <w:tcPr>
            <w:tcW w:w="97" w:type="dxa"/>
            <w:tcBorders/>
            <w:shd w:fill="00548B" w:val="clear"/>
            <w:vAlign w:val="bottom"/>
          </w:tcPr>
          <w:p>
            <w:pPr>
              <w:pStyle w:val="TableContents"/>
              <w:spacing w:before="0" w:after="283"/>
              <w:rPr/>
            </w:pPr>
            <w:r>
              <w:rPr/>
              <w:t> </w:t>
            </w:r>
          </w:p>
        </w:tc>
        <w:tc>
          <w:tcPr>
            <w:tcW w:w="553" w:type="dxa"/>
            <w:tcBorders/>
            <w:shd w:fill="00548B" w:val="clear"/>
            <w:vAlign w:val="bottom"/>
          </w:tcPr>
          <w:p>
            <w:pPr>
              <w:pStyle w:val="TableContents"/>
              <w:spacing w:before="0" w:after="283"/>
              <w:rPr>
                <w:sz w:val="4"/>
                <w:szCs w:val="4"/>
              </w:rPr>
            </w:pPr>
            <w:r>
              <w:rPr>
                <w:sz w:val="4"/>
                <w:szCs w:val="4"/>
              </w:rPr>
            </w:r>
          </w:p>
        </w:tc>
      </w:tr>
      <w:tr>
        <w:trPr/>
        <w:tc>
          <w:tcPr>
            <w:tcW w:w="2006" w:type="dxa"/>
            <w:tcBorders>
              <w:bottom w:val="single" w:sz="2" w:space="0" w:color="999999"/>
            </w:tcBorders>
            <w:shd w:fill="auto" w:val="clear"/>
            <w:tcMar>
              <w:bottom w:w="28" w:type="dxa"/>
            </w:tcMar>
          </w:tcPr>
          <w:p>
            <w:pPr>
              <w:pStyle w:val="TableContents"/>
              <w:spacing w:before="0" w:after="0"/>
              <w:rPr>
                <w:rFonts w:ascii="arial" w:hAnsi="arial"/>
                <w:b/>
                <w:color w:val="00548B"/>
                <w:sz w:val="16"/>
              </w:rPr>
            </w:pPr>
            <w:r>
              <w:rPr>
                <w:rFonts w:ascii="arial" w:hAnsi="arial"/>
                <w:b/>
                <w:color w:val="00548B"/>
                <w:sz w:val="16"/>
              </w:rPr>
              <w:t>John McCartney</w:t>
            </w:r>
          </w:p>
          <w:p>
            <w:pPr>
              <w:pStyle w:val="TableContents"/>
              <w:spacing w:before="0" w:after="20"/>
              <w:rPr>
                <w:rFonts w:ascii="arial" w:hAnsi="arial"/>
                <w:sz w:val="14"/>
              </w:rPr>
            </w:pPr>
            <w:r>
              <w:rPr>
                <w:rFonts w:ascii="arial" w:hAnsi="arial"/>
                <w:sz w:val="14"/>
              </w:rPr>
              <w:t>Age 68, Director since 2004</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3060" w:type="dxa"/>
            <w:tcBorders>
              <w:bottom w:val="single" w:sz="2" w:space="0" w:color="999999"/>
            </w:tcBorders>
            <w:shd w:fill="auto" w:val="clear"/>
            <w:tcMar>
              <w:bottom w:w="28" w:type="dxa"/>
            </w:tcMar>
          </w:tcPr>
          <w:p>
            <w:pPr>
              <w:pStyle w:val="TableContents"/>
              <w:spacing w:before="0" w:after="0"/>
              <w:jc w:val="both"/>
              <w:rPr>
                <w:rFonts w:ascii="arial" w:hAnsi="arial"/>
                <w:sz w:val="16"/>
              </w:rPr>
            </w:pPr>
            <w:r>
              <w:rPr>
                <w:rFonts w:ascii="arial" w:hAnsi="arial"/>
                <w:sz w:val="16"/>
              </w:rPr>
              <w:t>Non-executive Chairman, Huron Consulting Group Inc.</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984" w:type="dxa"/>
            <w:tcBorders>
              <w:bottom w:val="single" w:sz="2" w:space="0" w:color="999999"/>
            </w:tcBorders>
            <w:shd w:fill="auto" w:val="clear"/>
            <w:tcMar>
              <w:bottom w:w="28" w:type="dxa"/>
            </w:tcMar>
          </w:tcPr>
          <w:p>
            <w:pPr>
              <w:pStyle w:val="TableContents"/>
              <w:spacing w:before="0" w:after="283"/>
              <w:jc w:val="center"/>
              <w:rPr>
                <w:rFonts w:ascii="arial" w:hAnsi="arial"/>
              </w:rPr>
            </w:pPr>
            <w:r>
              <w:rPr>
                <w:rFonts w:ascii="arial" w:hAnsi="arial"/>
              </w:rPr>
              <w:t>Class III</w:t>
              <w:br/>
              <w:t>2022</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525"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411"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443" w:type="dxa"/>
            <w:tcBorders>
              <w:bottom w:val="single" w:sz="2" w:space="0" w:color="999999"/>
            </w:tcBorders>
            <w:shd w:fill="auto" w:val="clear"/>
            <w:tcMar>
              <w:bottom w:w="28" w:type="dxa"/>
            </w:tcMar>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544"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 🌑</w:t>
            </w:r>
            <w:r>
              <w:rPr>
                <w:color w:val="00548B"/>
              </w:rPr>
              <w:t>c</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553" w:type="dxa"/>
            <w:tcBorders>
              <w:bottom w:val="single" w:sz="2" w:space="0" w:color="999999"/>
            </w:tcBorders>
            <w:shd w:fill="auto" w:val="clear"/>
            <w:tcMar>
              <w:bottom w:w="28" w:type="dxa"/>
            </w:tcMar>
          </w:tcPr>
          <w:p>
            <w:pPr>
              <w:pStyle w:val="TableContents"/>
              <w:spacing w:before="0" w:after="283"/>
              <w:rPr/>
            </w:pPr>
            <w:r>
              <w:rPr/>
              <w:t> </w:t>
            </w:r>
          </w:p>
        </w:tc>
      </w:tr>
      <w:tr>
        <w:trPr/>
        <w:tc>
          <w:tcPr>
            <w:tcW w:w="2006" w:type="dxa"/>
            <w:tcBorders>
              <w:bottom w:val="single" w:sz="2" w:space="0" w:color="999999"/>
            </w:tcBorders>
            <w:shd w:fill="auto" w:val="clear"/>
            <w:tcMar>
              <w:bottom w:w="28" w:type="dxa"/>
            </w:tcMar>
          </w:tcPr>
          <w:p>
            <w:pPr>
              <w:pStyle w:val="TableContents"/>
              <w:spacing w:before="0" w:after="0"/>
              <w:rPr>
                <w:rFonts w:ascii="arial" w:hAnsi="arial"/>
                <w:b/>
                <w:color w:val="00548B"/>
                <w:sz w:val="16"/>
              </w:rPr>
            </w:pPr>
            <w:r>
              <w:rPr>
                <w:rFonts w:ascii="arial" w:hAnsi="arial"/>
                <w:b/>
                <w:color w:val="00548B"/>
                <w:sz w:val="16"/>
              </w:rPr>
              <w:t>Ekta Singh-Bushell</w:t>
            </w:r>
          </w:p>
          <w:p>
            <w:pPr>
              <w:pStyle w:val="TableContents"/>
              <w:spacing w:before="0" w:after="20"/>
              <w:rPr>
                <w:rFonts w:ascii="arial" w:hAnsi="arial"/>
                <w:sz w:val="14"/>
              </w:rPr>
            </w:pPr>
            <w:r>
              <w:rPr>
                <w:rFonts w:ascii="arial" w:hAnsi="arial"/>
                <w:sz w:val="14"/>
              </w:rPr>
              <w:t>Age 49, Director since 2019</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3060" w:type="dxa"/>
            <w:tcBorders>
              <w:bottom w:val="single" w:sz="2" w:space="0" w:color="999999"/>
            </w:tcBorders>
            <w:shd w:fill="auto" w:val="clear"/>
            <w:tcMar>
              <w:bottom w:w="28" w:type="dxa"/>
            </w:tcMar>
          </w:tcPr>
          <w:p>
            <w:pPr>
              <w:pStyle w:val="TableContents"/>
              <w:spacing w:before="0" w:after="0"/>
              <w:jc w:val="both"/>
              <w:rPr>
                <w:rFonts w:ascii="arial" w:hAnsi="arial"/>
                <w:sz w:val="16"/>
              </w:rPr>
            </w:pPr>
            <w:r>
              <w:rPr>
                <w:rFonts w:ascii="arial" w:hAnsi="arial"/>
                <w:sz w:val="16"/>
              </w:rPr>
              <w:t>Strategic adviser to DecisionGPS, LLC</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984" w:type="dxa"/>
            <w:tcBorders>
              <w:bottom w:val="single" w:sz="2" w:space="0" w:color="999999"/>
            </w:tcBorders>
            <w:shd w:fill="auto" w:val="clear"/>
            <w:tcMar>
              <w:bottom w:w="28" w:type="dxa"/>
            </w:tcMar>
          </w:tcPr>
          <w:p>
            <w:pPr>
              <w:pStyle w:val="TableContents"/>
              <w:spacing w:before="0" w:after="283"/>
              <w:jc w:val="center"/>
              <w:rPr>
                <w:rFonts w:ascii="arial" w:hAnsi="arial"/>
              </w:rPr>
            </w:pPr>
            <w:r>
              <w:rPr>
                <w:rFonts w:ascii="arial" w:hAnsi="arial"/>
              </w:rPr>
              <w:t>Class III</w:t>
              <w:br/>
              <w:t>2022</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525"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411" w:type="dxa"/>
            <w:tcBorders>
              <w:bottom w:val="single" w:sz="2" w:space="0" w:color="999999"/>
            </w:tcBorders>
            <w:shd w:fill="auto" w:val="clear"/>
            <w:tcMar>
              <w:bottom w:w="28" w:type="dxa"/>
            </w:tcMar>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443"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544"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553"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 🌑</w:t>
            </w:r>
            <w:r>
              <w:rPr>
                <w:color w:val="00548B"/>
              </w:rPr>
              <w:t>c</w:t>
            </w:r>
          </w:p>
        </w:tc>
      </w:tr>
      <w:tr>
        <w:trPr/>
        <w:tc>
          <w:tcPr>
            <w:tcW w:w="2006" w:type="dxa"/>
            <w:tcBorders>
              <w:bottom w:val="single" w:sz="2" w:space="0" w:color="999999"/>
            </w:tcBorders>
            <w:shd w:fill="auto" w:val="clear"/>
            <w:tcMar>
              <w:bottom w:w="28" w:type="dxa"/>
            </w:tcMar>
          </w:tcPr>
          <w:p>
            <w:pPr>
              <w:pStyle w:val="TableContents"/>
              <w:spacing w:before="0" w:after="0"/>
              <w:rPr>
                <w:rFonts w:ascii="arial" w:hAnsi="arial"/>
                <w:b/>
                <w:color w:val="00548B"/>
                <w:sz w:val="16"/>
              </w:rPr>
            </w:pPr>
            <w:r>
              <w:rPr>
                <w:rFonts w:ascii="arial" w:hAnsi="arial"/>
                <w:b/>
                <w:color w:val="00548B"/>
                <w:sz w:val="16"/>
              </w:rPr>
              <w:t>H. Eugene Lockhart</w:t>
            </w:r>
          </w:p>
          <w:p>
            <w:pPr>
              <w:pStyle w:val="TableContents"/>
              <w:spacing w:before="0" w:after="20"/>
              <w:rPr>
                <w:rFonts w:ascii="arial" w:hAnsi="arial"/>
                <w:sz w:val="14"/>
              </w:rPr>
            </w:pPr>
            <w:r>
              <w:rPr>
                <w:rFonts w:ascii="arial" w:hAnsi="arial"/>
                <w:sz w:val="14"/>
              </w:rPr>
              <w:t>Age 71, Director since 2006</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3060" w:type="dxa"/>
            <w:tcBorders>
              <w:bottom w:val="single" w:sz="2" w:space="0" w:color="999999"/>
            </w:tcBorders>
            <w:shd w:fill="auto" w:val="clear"/>
            <w:tcMar>
              <w:bottom w:w="28" w:type="dxa"/>
            </w:tcMar>
          </w:tcPr>
          <w:p>
            <w:pPr>
              <w:pStyle w:val="TableContents"/>
              <w:spacing w:before="0" w:after="0"/>
              <w:jc w:val="both"/>
              <w:rPr>
                <w:rFonts w:ascii="arial" w:hAnsi="arial"/>
                <w:sz w:val="16"/>
              </w:rPr>
            </w:pPr>
            <w:r>
              <w:rPr>
                <w:rFonts w:ascii="arial" w:hAnsi="arial"/>
                <w:sz w:val="16"/>
              </w:rPr>
              <w:t>Chairman and Managing Partner of MissionOG LLC</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984" w:type="dxa"/>
            <w:tcBorders>
              <w:bottom w:val="single" w:sz="2" w:space="0" w:color="999999"/>
            </w:tcBorders>
            <w:shd w:fill="auto" w:val="clear"/>
            <w:tcMar>
              <w:bottom w:w="28" w:type="dxa"/>
            </w:tcMar>
          </w:tcPr>
          <w:p>
            <w:pPr>
              <w:pStyle w:val="TableContents"/>
              <w:spacing w:before="0" w:after="283"/>
              <w:jc w:val="center"/>
              <w:rPr>
                <w:rFonts w:ascii="arial" w:hAnsi="arial"/>
              </w:rPr>
            </w:pPr>
            <w:r>
              <w:rPr>
                <w:rFonts w:ascii="arial" w:hAnsi="arial"/>
              </w:rPr>
              <w:t>Class I</w:t>
              <w:br/>
              <w:t>2023</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525"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411"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 🌑</w:t>
            </w:r>
            <w:r>
              <w:rPr>
                <w:rFonts w:ascii="arial" w:hAnsi="arial"/>
                <w:color w:val="00548B"/>
              </w:rPr>
              <w:t>c</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443"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544" w:type="dxa"/>
            <w:tcBorders>
              <w:bottom w:val="single" w:sz="2" w:space="0" w:color="999999"/>
            </w:tcBorders>
            <w:shd w:fill="auto" w:val="clear"/>
            <w:tcMar>
              <w:bottom w:w="28" w:type="dxa"/>
            </w:tcMar>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553" w:type="dxa"/>
            <w:tcBorders>
              <w:bottom w:val="single" w:sz="2" w:space="0" w:color="999999"/>
            </w:tcBorders>
            <w:shd w:fill="auto" w:val="clear"/>
            <w:tcMar>
              <w:bottom w:w="28" w:type="dxa"/>
            </w:tcMar>
          </w:tcPr>
          <w:p>
            <w:pPr>
              <w:pStyle w:val="TableContents"/>
              <w:spacing w:before="0" w:after="283"/>
              <w:jc w:val="center"/>
              <w:rPr>
                <w:color w:val="00548B"/>
              </w:rPr>
            </w:pPr>
            <w:r>
              <w:rPr>
                <w:color w:val="00548B"/>
              </w:rPr>
              <w:t>🌑</w:t>
            </w:r>
          </w:p>
        </w:tc>
      </w:tr>
      <w:tr>
        <w:trPr/>
        <w:tc>
          <w:tcPr>
            <w:tcW w:w="2006" w:type="dxa"/>
            <w:tcBorders>
              <w:bottom w:val="single" w:sz="2" w:space="0" w:color="00548B"/>
            </w:tcBorders>
            <w:shd w:fill="auto" w:val="clear"/>
            <w:tcMar>
              <w:bottom w:w="28" w:type="dxa"/>
            </w:tcMar>
          </w:tcPr>
          <w:p>
            <w:pPr>
              <w:pStyle w:val="TableContents"/>
              <w:spacing w:before="0" w:after="0"/>
              <w:rPr>
                <w:rFonts w:ascii="arial" w:hAnsi="arial"/>
                <w:b/>
                <w:color w:val="00548B"/>
                <w:sz w:val="16"/>
              </w:rPr>
            </w:pPr>
            <w:r>
              <w:rPr>
                <w:rFonts w:ascii="arial" w:hAnsi="arial"/>
                <w:b/>
                <w:color w:val="00548B"/>
                <w:sz w:val="16"/>
              </w:rPr>
              <w:t>James H. Roth</w:t>
            </w:r>
          </w:p>
          <w:p>
            <w:pPr>
              <w:pStyle w:val="TableContents"/>
              <w:spacing w:before="0" w:after="20"/>
              <w:rPr>
                <w:rFonts w:ascii="arial" w:hAnsi="arial"/>
                <w:sz w:val="14"/>
              </w:rPr>
            </w:pPr>
            <w:r>
              <w:rPr>
                <w:rFonts w:ascii="arial" w:hAnsi="arial"/>
                <w:sz w:val="14"/>
              </w:rPr>
              <w:t>Age 63, Director since 2009</w:t>
            </w:r>
          </w:p>
        </w:tc>
        <w:tc>
          <w:tcPr>
            <w:tcW w:w="97" w:type="dxa"/>
            <w:tcBorders>
              <w:bottom w:val="single" w:sz="2" w:space="0" w:color="00548B"/>
            </w:tcBorders>
            <w:shd w:fill="auto" w:val="clear"/>
            <w:tcMar>
              <w:bottom w:w="28" w:type="dxa"/>
            </w:tcMar>
            <w:vAlign w:val="bottom"/>
          </w:tcPr>
          <w:p>
            <w:pPr>
              <w:pStyle w:val="TableContents"/>
              <w:spacing w:before="0" w:after="283"/>
              <w:rPr/>
            </w:pPr>
            <w:r>
              <w:rPr/>
              <w:t> </w:t>
            </w:r>
          </w:p>
        </w:tc>
        <w:tc>
          <w:tcPr>
            <w:tcW w:w="3060" w:type="dxa"/>
            <w:tcBorders>
              <w:bottom w:val="single" w:sz="2" w:space="0" w:color="00548B"/>
            </w:tcBorders>
            <w:shd w:fill="auto" w:val="clear"/>
            <w:tcMar>
              <w:bottom w:w="28" w:type="dxa"/>
            </w:tcMar>
          </w:tcPr>
          <w:p>
            <w:pPr>
              <w:pStyle w:val="TableContents"/>
              <w:spacing w:before="0" w:after="0"/>
              <w:jc w:val="both"/>
              <w:rPr>
                <w:rFonts w:ascii="arial" w:hAnsi="arial"/>
                <w:sz w:val="16"/>
              </w:rPr>
            </w:pPr>
            <w:r>
              <w:rPr>
                <w:rFonts w:ascii="arial" w:hAnsi="arial"/>
                <w:sz w:val="16"/>
              </w:rPr>
              <w:t>Chief Executive Officer of Huron Consulting Group Inc. and Huron Consulting Services LLC, our principal operating subsidiary</w:t>
            </w:r>
          </w:p>
        </w:tc>
        <w:tc>
          <w:tcPr>
            <w:tcW w:w="97" w:type="dxa"/>
            <w:tcBorders>
              <w:bottom w:val="single" w:sz="2" w:space="0" w:color="00548B"/>
            </w:tcBorders>
            <w:shd w:fill="auto" w:val="clear"/>
            <w:tcMar>
              <w:bottom w:w="28" w:type="dxa"/>
            </w:tcMar>
            <w:vAlign w:val="bottom"/>
          </w:tcPr>
          <w:p>
            <w:pPr>
              <w:pStyle w:val="TableContents"/>
              <w:spacing w:before="0" w:after="283"/>
              <w:rPr/>
            </w:pPr>
            <w:r>
              <w:rPr/>
              <w:t> </w:t>
            </w:r>
          </w:p>
        </w:tc>
        <w:tc>
          <w:tcPr>
            <w:tcW w:w="984" w:type="dxa"/>
            <w:tcBorders>
              <w:bottom w:val="single" w:sz="2" w:space="0" w:color="00548B"/>
            </w:tcBorders>
            <w:shd w:fill="auto" w:val="clear"/>
            <w:tcMar>
              <w:bottom w:w="28" w:type="dxa"/>
            </w:tcMar>
          </w:tcPr>
          <w:p>
            <w:pPr>
              <w:pStyle w:val="TableContents"/>
              <w:spacing w:before="0" w:after="283"/>
              <w:jc w:val="center"/>
              <w:rPr>
                <w:rFonts w:ascii="arial" w:hAnsi="arial"/>
              </w:rPr>
            </w:pPr>
            <w:r>
              <w:rPr>
                <w:rFonts w:ascii="arial" w:hAnsi="arial"/>
              </w:rPr>
              <w:t>Class I</w:t>
              <w:br/>
              <w:t>2023</w:t>
            </w:r>
          </w:p>
        </w:tc>
        <w:tc>
          <w:tcPr>
            <w:tcW w:w="97" w:type="dxa"/>
            <w:tcBorders>
              <w:bottom w:val="single" w:sz="2" w:space="0" w:color="00548B"/>
            </w:tcBorders>
            <w:shd w:fill="auto" w:val="clear"/>
            <w:tcMar>
              <w:bottom w:w="28" w:type="dxa"/>
            </w:tcMar>
            <w:vAlign w:val="bottom"/>
          </w:tcPr>
          <w:p>
            <w:pPr>
              <w:pStyle w:val="TableContents"/>
              <w:spacing w:before="0" w:after="283"/>
              <w:rPr/>
            </w:pPr>
            <w:r>
              <w:rPr/>
              <w:t> </w:t>
            </w:r>
          </w:p>
        </w:tc>
        <w:tc>
          <w:tcPr>
            <w:tcW w:w="1525" w:type="dxa"/>
            <w:tcBorders>
              <w:bottom w:val="single" w:sz="2" w:space="0" w:color="00548B"/>
            </w:tcBorders>
            <w:shd w:fill="auto" w:val="clear"/>
            <w:tcMar>
              <w:bottom w:w="28" w:type="dxa"/>
            </w:tcMar>
          </w:tcPr>
          <w:p>
            <w:pPr>
              <w:pStyle w:val="TableContents"/>
              <w:spacing w:before="0" w:after="283"/>
              <w:rPr/>
            </w:pPr>
            <w:r>
              <w:rPr/>
              <w:t> </w:t>
            </w:r>
          </w:p>
        </w:tc>
        <w:tc>
          <w:tcPr>
            <w:tcW w:w="97" w:type="dxa"/>
            <w:tcBorders>
              <w:bottom w:val="single" w:sz="2" w:space="0" w:color="00548B"/>
            </w:tcBorders>
            <w:shd w:fill="auto" w:val="clear"/>
            <w:tcMar>
              <w:bottom w:w="28" w:type="dxa"/>
            </w:tcMar>
            <w:vAlign w:val="bottom"/>
          </w:tcPr>
          <w:p>
            <w:pPr>
              <w:pStyle w:val="TableContents"/>
              <w:spacing w:before="0" w:after="283"/>
              <w:rPr/>
            </w:pPr>
            <w:r>
              <w:rPr/>
              <w:t> </w:t>
            </w:r>
          </w:p>
        </w:tc>
        <w:tc>
          <w:tcPr>
            <w:tcW w:w="411" w:type="dxa"/>
            <w:tcBorders>
              <w:bottom w:val="single" w:sz="2" w:space="0" w:color="00548B"/>
            </w:tcBorders>
            <w:shd w:fill="auto" w:val="clear"/>
            <w:tcMar>
              <w:bottom w:w="28" w:type="dxa"/>
            </w:tcMar>
          </w:tcPr>
          <w:p>
            <w:pPr>
              <w:pStyle w:val="TableContents"/>
              <w:spacing w:before="0" w:after="283"/>
              <w:rPr/>
            </w:pPr>
            <w:r>
              <w:rPr/>
              <w:t> </w:t>
            </w:r>
          </w:p>
        </w:tc>
        <w:tc>
          <w:tcPr>
            <w:tcW w:w="97" w:type="dxa"/>
            <w:tcBorders>
              <w:bottom w:val="single" w:sz="2" w:space="0" w:color="00548B"/>
            </w:tcBorders>
            <w:shd w:fill="auto" w:val="clear"/>
            <w:tcMar>
              <w:bottom w:w="28" w:type="dxa"/>
            </w:tcMar>
            <w:vAlign w:val="bottom"/>
          </w:tcPr>
          <w:p>
            <w:pPr>
              <w:pStyle w:val="TableContents"/>
              <w:spacing w:before="0" w:after="283"/>
              <w:rPr/>
            </w:pPr>
            <w:r>
              <w:rPr/>
              <w:t> </w:t>
            </w:r>
          </w:p>
        </w:tc>
        <w:tc>
          <w:tcPr>
            <w:tcW w:w="443" w:type="dxa"/>
            <w:tcBorders>
              <w:bottom w:val="single" w:sz="2" w:space="0" w:color="00548B"/>
            </w:tcBorders>
            <w:shd w:fill="auto" w:val="clear"/>
            <w:tcMar>
              <w:bottom w:w="28" w:type="dxa"/>
            </w:tcMar>
          </w:tcPr>
          <w:p>
            <w:pPr>
              <w:pStyle w:val="TableContents"/>
              <w:spacing w:before="0" w:after="283"/>
              <w:rPr/>
            </w:pPr>
            <w:r>
              <w:rPr/>
              <w:t> </w:t>
            </w:r>
          </w:p>
        </w:tc>
        <w:tc>
          <w:tcPr>
            <w:tcW w:w="97" w:type="dxa"/>
            <w:tcBorders>
              <w:bottom w:val="single" w:sz="2" w:space="0" w:color="00548B"/>
            </w:tcBorders>
            <w:shd w:fill="auto" w:val="clear"/>
            <w:tcMar>
              <w:bottom w:w="28" w:type="dxa"/>
            </w:tcMar>
            <w:vAlign w:val="bottom"/>
          </w:tcPr>
          <w:p>
            <w:pPr>
              <w:pStyle w:val="TableContents"/>
              <w:spacing w:before="0" w:after="283"/>
              <w:rPr/>
            </w:pPr>
            <w:r>
              <w:rPr/>
              <w:t> </w:t>
            </w:r>
          </w:p>
        </w:tc>
        <w:tc>
          <w:tcPr>
            <w:tcW w:w="544" w:type="dxa"/>
            <w:tcBorders>
              <w:bottom w:val="single" w:sz="2" w:space="0" w:color="00548B"/>
            </w:tcBorders>
            <w:shd w:fill="auto" w:val="clear"/>
            <w:tcMar>
              <w:bottom w:w="28" w:type="dxa"/>
            </w:tcMar>
          </w:tcPr>
          <w:p>
            <w:pPr>
              <w:pStyle w:val="TableContents"/>
              <w:spacing w:before="0" w:after="283"/>
              <w:rPr/>
            </w:pPr>
            <w:r>
              <w:rPr/>
              <w:t> </w:t>
            </w:r>
          </w:p>
        </w:tc>
        <w:tc>
          <w:tcPr>
            <w:tcW w:w="97" w:type="dxa"/>
            <w:tcBorders>
              <w:bottom w:val="single" w:sz="2" w:space="0" w:color="00548B"/>
            </w:tcBorders>
            <w:shd w:fill="auto" w:val="clear"/>
            <w:tcMar>
              <w:bottom w:w="28" w:type="dxa"/>
            </w:tcMar>
            <w:vAlign w:val="bottom"/>
          </w:tcPr>
          <w:p>
            <w:pPr>
              <w:pStyle w:val="TableContents"/>
              <w:spacing w:before="0" w:after="283"/>
              <w:rPr/>
            </w:pPr>
            <w:r>
              <w:rPr/>
              <w:t> </w:t>
            </w:r>
          </w:p>
        </w:tc>
        <w:tc>
          <w:tcPr>
            <w:tcW w:w="553" w:type="dxa"/>
            <w:tcBorders>
              <w:bottom w:val="single" w:sz="2" w:space="0" w:color="00548B"/>
            </w:tcBorders>
            <w:shd w:fill="auto" w:val="clear"/>
            <w:tcMar>
              <w:bottom w:w="28" w:type="dxa"/>
            </w:tcMar>
          </w:tcPr>
          <w:p>
            <w:pPr>
              <w:pStyle w:val="TableContents"/>
              <w:spacing w:before="0" w:after="283"/>
              <w:rPr/>
            </w:pPr>
            <w:r>
              <w:rPr/>
              <w:t> </w:t>
            </w:r>
          </w:p>
        </w:tc>
      </w:tr>
    </w:tbl>
    <w:p>
      <w:pPr>
        <w:pStyle w:val="TextBody"/>
        <w:spacing w:before="120" w:after="0"/>
        <w:jc w:val="left"/>
        <w:rPr>
          <w:rFonts w:ascii="arial" w:hAnsi="arial"/>
          <w:sz w:val="16"/>
        </w:rPr>
      </w:pPr>
      <w:r>
        <w:rPr>
          <w:rFonts w:ascii="arial" w:hAnsi="arial"/>
          <w:sz w:val="16"/>
        </w:rPr>
        <w:t xml:space="preserve">A  Audit Committee                                                                              c - Chairperson </w:t>
      </w:r>
    </w:p>
    <w:p>
      <w:pPr>
        <w:pStyle w:val="TextBody"/>
        <w:spacing w:before="0" w:after="0"/>
        <w:jc w:val="left"/>
        <w:rPr>
          <w:rFonts w:ascii="arial" w:hAnsi="arial"/>
          <w:sz w:val="16"/>
        </w:rPr>
      </w:pPr>
      <w:r>
        <w:rPr>
          <w:rFonts w:ascii="arial" w:hAnsi="arial"/>
          <w:sz w:val="16"/>
        </w:rPr>
        <w:t xml:space="preserve">C  Compensation Committee     </w:t>
      </w:r>
    </w:p>
    <w:p>
      <w:pPr>
        <w:pStyle w:val="TextBody"/>
        <w:spacing w:before="0" w:after="0"/>
        <w:jc w:val="left"/>
        <w:rPr>
          <w:rFonts w:ascii="arial" w:hAnsi="arial"/>
          <w:sz w:val="16"/>
        </w:rPr>
      </w:pPr>
      <w:r>
        <w:rPr>
          <w:rFonts w:ascii="arial" w:hAnsi="arial"/>
          <w:sz w:val="16"/>
        </w:rPr>
        <w:t xml:space="preserve">N&amp;CG  Nominating and Corporate Governance Committee </w:t>
      </w:r>
    </w:p>
    <w:p>
      <w:pPr>
        <w:pStyle w:val="TextBody"/>
        <w:spacing w:before="0" w:after="0"/>
        <w:jc w:val="left"/>
        <w:rPr>
          <w:rFonts w:ascii="arial" w:hAnsi="arial"/>
          <w:sz w:val="16"/>
        </w:rPr>
      </w:pPr>
      <w:r>
        <w:rPr>
          <w:rFonts w:ascii="arial" w:hAnsi="arial"/>
          <w:sz w:val="16"/>
        </w:rPr>
        <w:t xml:space="preserve">Tech - Technology and Information Security Committee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The below table summarizes the core competencies that our directors bring to the board. More detailed information on each of the directors experience, qualifications, attributes and skills is more thoroughly described in the biographies that follow. </w:t>
      </w:r>
    </w:p>
    <w:p>
      <w:pPr>
        <w:pStyle w:val="TextBody"/>
        <w:spacing w:before="200" w:after="0"/>
        <w:jc w:val="both"/>
        <w:rPr>
          <w:rFonts w:ascii="arial" w:hAnsi="arial"/>
          <w:b/>
          <w:color w:val="00548B"/>
          <w:sz w:val="24"/>
        </w:rPr>
      </w:pPr>
      <w:r>
        <w:rPr>
          <w:rFonts w:ascii="arial" w:hAnsi="arial"/>
          <w:b/>
          <w:color w:val="00548B"/>
          <w:sz w:val="24"/>
        </w:rPr>
        <w:t xml:space="preserve">Skills Matrix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27050" cy="33718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embed="rId11"/>
                    <a:stretch>
                      <a:fillRect/>
                    </a:stretch>
                  </pic:blipFill>
                  <pic:spPr bwMode="auto">
                    <a:xfrm>
                      <a:off x="0" y="0"/>
                      <a:ext cx="527050" cy="337185"/>
                    </a:xfrm>
                    <a:prstGeom prst="rect">
                      <a:avLst/>
                    </a:prstGeom>
                  </pic:spPr>
                </pic:pic>
              </a:graphicData>
            </a:graphic>
          </wp:inline>
        </w:drawing>
      </w:r>
      <w:r>
        <w:rPr/>
        <w:t xml:space="preserve"> </w:t>
      </w:r>
    </w:p>
    <w:p>
      <w:pPr>
        <w:pStyle w:val="TextBody"/>
        <w:spacing w:before="400" w:after="0"/>
        <w:jc w:val="both"/>
        <w:rPr>
          <w:rFonts w:ascii="arial" w:hAnsi="arial"/>
          <w:b/>
          <w:color w:val="00548B"/>
          <w:sz w:val="24"/>
        </w:rPr>
      </w:pPr>
      <w:r>
        <w:rPr>
          <w:rFonts w:ascii="arial" w:hAnsi="arial"/>
          <w:b/>
          <w:color w:val="00548B"/>
          <w:sz w:val="24"/>
        </w:rPr>
        <w:t xml:space="preserve">Board of Directors Snapshot(1) </w:t>
      </w:r>
    </w:p>
    <w:p>
      <w:pPr>
        <w:pStyle w:val="TextBody"/>
        <w:spacing w:before="0" w:after="0"/>
        <w:jc w:val="left"/>
        <w:rPr/>
      </w:pPr>
      <w:r>
        <w:rPr/>
        <w:t> </w:t>
      </w:r>
    </w:p>
    <w:p>
      <w:pPr>
        <w:pStyle w:val="TextBody"/>
        <w:spacing w:before="0" w:after="0"/>
        <w:jc w:val="center"/>
        <w:rPr/>
      </w:pPr>
      <w:r>
        <w:rPr/>
        <w:drawing>
          <wp:inline distT="0" distB="0" distL="0" distR="0">
            <wp:extent cx="499110" cy="7048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embed="rId12"/>
                    <a:stretch>
                      <a:fillRect/>
                    </a:stretch>
                  </pic:blipFill>
                  <pic:spPr bwMode="auto">
                    <a:xfrm>
                      <a:off x="0" y="0"/>
                      <a:ext cx="499110" cy="7048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pPr>
      <w:r>
        <w:rPr/>
        <w:drawing>
          <wp:inline distT="0" distB="0" distL="0" distR="0">
            <wp:extent cx="534035" cy="15176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embed="rId13"/>
                    <a:stretch>
                      <a:fillRect/>
                    </a:stretch>
                  </pic:blipFill>
                  <pic:spPr bwMode="auto">
                    <a:xfrm>
                      <a:off x="0" y="0"/>
                      <a:ext cx="534035" cy="151765"/>
                    </a:xfrm>
                    <a:prstGeom prst="rect">
                      <a:avLst/>
                    </a:prstGeom>
                  </pic:spPr>
                </pic:pic>
              </a:graphicData>
            </a:graphic>
          </wp:inline>
        </w:drawing>
      </w:r>
      <w:r>
        <w:rPr/>
        <w:t xml:space="preserve"> </w:t>
      </w:r>
    </w:p>
    <w:p>
      <w:pPr>
        <w:pStyle w:val="TextBody"/>
        <w:spacing w:before="240" w:after="0"/>
        <w:jc w:val="right"/>
        <w:rPr>
          <w:rFonts w:ascii="arial" w:hAnsi="arial"/>
          <w:color w:val="00548B"/>
          <w:sz w:val="16"/>
        </w:rPr>
      </w:pPr>
      <w:r>
        <w:rPr>
          <w:rFonts w:ascii="arial" w:hAnsi="arial"/>
          <w:b/>
          <w:color w:val="00548B"/>
          <w:sz w:val="16"/>
        </w:rPr>
        <w:t>(1) Data as of 12/31/2020 and includes Mr. Roth.</w:t>
      </w:r>
      <w:r>
        <w:rPr>
          <w:rFonts w:ascii="arial" w:hAnsi="arial"/>
          <w:color w:val="00548B"/>
          <w:sz w:val="16"/>
        </w:rPr>
        <w:t xml:space="preserv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Presented below is information regarding the directors of the Company. </w:t>
      </w:r>
    </w:p>
    <w:p>
      <w:pPr>
        <w:pStyle w:val="TextBody"/>
        <w:spacing w:before="200" w:after="0"/>
        <w:jc w:val="both"/>
        <w:rPr>
          <w:rFonts w:ascii="arial" w:hAnsi="arial"/>
          <w:b/>
          <w:color w:val="00548B"/>
          <w:sz w:val="20"/>
        </w:rPr>
      </w:pPr>
      <w:bookmarkStart w:id="8" w:name="toc170561_6"/>
      <w:bookmarkEnd w:id="8"/>
      <w:r>
        <w:rPr>
          <w:rFonts w:ascii="arial" w:hAnsi="arial"/>
          <w:b/>
          <w:color w:val="00548B"/>
          <w:sz w:val="20"/>
        </w:rPr>
        <w:t>N</w:t>
      </w:r>
      <w:r>
        <w:rPr>
          <w:rFonts w:ascii="arial" w:hAnsi="arial"/>
          <w:b/>
          <w:color w:val="00548B"/>
          <w:sz w:val="14"/>
        </w:rPr>
        <w:t>OMINEES</w:t>
      </w:r>
      <w:r>
        <w:rPr>
          <w:rFonts w:ascii="arial" w:hAnsi="arial"/>
          <w:b/>
          <w:color w:val="00548B"/>
          <w:sz w:val="20"/>
        </w:rPr>
        <w:t xml:space="preserve"> </w:t>
      </w:r>
      <w:r>
        <w:rPr>
          <w:rFonts w:ascii="arial" w:hAnsi="arial"/>
          <w:b/>
          <w:color w:val="00548B"/>
          <w:sz w:val="14"/>
        </w:rPr>
        <w:t>TO</w:t>
      </w:r>
      <w:r>
        <w:rPr>
          <w:rFonts w:ascii="arial" w:hAnsi="arial"/>
          <w:b/>
          <w:color w:val="00548B"/>
          <w:sz w:val="20"/>
        </w:rPr>
        <w:t xml:space="preserve"> B</w:t>
      </w:r>
      <w:r>
        <w:rPr>
          <w:rFonts w:ascii="arial" w:hAnsi="arial"/>
          <w:b/>
          <w:color w:val="00548B"/>
          <w:sz w:val="14"/>
        </w:rPr>
        <w:t>OARD</w:t>
      </w:r>
      <w:r>
        <w:rPr>
          <w:rFonts w:ascii="arial" w:hAnsi="arial"/>
          <w:b/>
          <w:color w:val="00548B"/>
          <w:sz w:val="20"/>
        </w:rPr>
        <w:t xml:space="preserve"> </w:t>
      </w:r>
      <w:r>
        <w:rPr>
          <w:rFonts w:ascii="arial" w:hAnsi="arial"/>
          <w:b/>
          <w:color w:val="00548B"/>
          <w:sz w:val="14"/>
        </w:rPr>
        <w:t>OF</w:t>
      </w:r>
      <w:r>
        <w:rPr>
          <w:rFonts w:ascii="arial" w:hAnsi="arial"/>
          <w:b/>
          <w:color w:val="00548B"/>
          <w:sz w:val="20"/>
        </w:rPr>
        <w:t xml:space="preserve"> D</w:t>
      </w:r>
      <w:r>
        <w:rPr>
          <w:rFonts w:ascii="arial" w:hAnsi="arial"/>
          <w:b/>
          <w:color w:val="00548B"/>
          <w:sz w:val="14"/>
        </w:rPr>
        <w:t>IRECTORS</w:t>
      </w:r>
      <w:r>
        <w:rPr>
          <w:rFonts w:ascii="arial" w:hAnsi="arial"/>
          <w:b/>
          <w:color w:val="00548B"/>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48"/>
        <w:gridCol w:w="120"/>
        <w:gridCol w:w="8637"/>
      </w:tblGrid>
      <w:tr>
        <w:trPr/>
        <w:tc>
          <w:tcPr>
            <w:tcW w:w="14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637" w:type="dxa"/>
            <w:tcBorders/>
            <w:shd w:fill="auto" w:val="clear"/>
            <w:vAlign w:val="center"/>
          </w:tcPr>
          <w:p>
            <w:pPr>
              <w:pStyle w:val="TableContents"/>
              <w:spacing w:before="0" w:after="283"/>
              <w:rPr>
                <w:sz w:val="4"/>
                <w:szCs w:val="4"/>
              </w:rPr>
            </w:pPr>
            <w:r>
              <w:rPr>
                <w:sz w:val="4"/>
                <w:szCs w:val="4"/>
              </w:rPr>
            </w:r>
          </w:p>
        </w:tc>
      </w:tr>
      <w:tr>
        <w:trPr/>
        <w:tc>
          <w:tcPr>
            <w:tcW w:w="1448" w:type="dxa"/>
            <w:tcBorders/>
            <w:shd w:fill="02558C" w:val="clear"/>
          </w:tcPr>
          <w:p>
            <w:pPr>
              <w:pStyle w:val="TableContents"/>
              <w:spacing w:before="0" w:after="283"/>
              <w:rPr/>
            </w:pPr>
            <w:r>
              <w:rPr/>
              <w:drawing>
                <wp:inline distT="0" distB="0" distL="0" distR="0">
                  <wp:extent cx="91440" cy="118110"/>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embed="rId14"/>
                          <a:stretch>
                            <a:fillRect/>
                          </a:stretch>
                        </pic:blipFill>
                        <pic:spPr bwMode="auto">
                          <a:xfrm>
                            <a:off x="0" y="0"/>
                            <a:ext cx="91440" cy="118110"/>
                          </a:xfrm>
                          <a:prstGeom prst="rect">
                            <a:avLst/>
                          </a:prstGeom>
                        </pic:spPr>
                      </pic:pic>
                    </a:graphicData>
                  </a:graphic>
                </wp:inline>
              </w:drawing>
            </w:r>
            <w:r>
              <w:rPr/>
              <w:t xml:space="preserve"> </w:t>
            </w:r>
          </w:p>
        </w:tc>
        <w:tc>
          <w:tcPr>
            <w:tcW w:w="120" w:type="dxa"/>
            <w:tcBorders/>
            <w:shd w:fill="00548B" w:val="clear"/>
            <w:vAlign w:val="bottom"/>
          </w:tcPr>
          <w:p>
            <w:pPr>
              <w:pStyle w:val="TableContents"/>
              <w:spacing w:before="0" w:after="283"/>
              <w:rPr/>
            </w:pPr>
            <w:r>
              <w:rPr/>
              <w:t>  </w:t>
            </w:r>
          </w:p>
        </w:tc>
        <w:tc>
          <w:tcPr>
            <w:tcW w:w="8637" w:type="dxa"/>
            <w:tcBorders/>
            <w:shd w:fill="00548B" w:val="clear"/>
            <w:vAlign w:val="center"/>
          </w:tcPr>
          <w:p>
            <w:pPr>
              <w:pStyle w:val="TableContents"/>
              <w:spacing w:before="0" w:after="0"/>
              <w:rPr>
                <w:rFonts w:ascii="arial" w:hAnsi="arial"/>
                <w:b/>
                <w:color w:val="D8D8D8"/>
                <w:sz w:val="18"/>
              </w:rPr>
            </w:pPr>
            <w:r>
              <w:rPr>
                <w:rFonts w:ascii="arial" w:hAnsi="arial"/>
                <w:b/>
                <w:color w:val="D8D8D8"/>
                <w:sz w:val="18"/>
              </w:rPr>
              <w:t>Hugh E. Sawyer</w:t>
            </w:r>
          </w:p>
          <w:p>
            <w:pPr>
              <w:pStyle w:val="TableContents"/>
              <w:spacing w:before="0" w:after="0"/>
              <w:jc w:val="both"/>
              <w:rPr>
                <w:rFonts w:ascii="arial" w:hAnsi="arial"/>
                <w:color w:val="D8D8D8"/>
                <w:sz w:val="16"/>
              </w:rPr>
            </w:pPr>
            <w:r>
              <w:rPr>
                <w:rFonts w:ascii="arial" w:hAnsi="arial"/>
                <w:color w:val="D8D8D8"/>
                <w:sz w:val="16"/>
              </w:rPr>
              <w:t>Director since February 2018</w:t>
            </w:r>
          </w:p>
          <w:p>
            <w:pPr>
              <w:pStyle w:val="TableContents"/>
              <w:spacing w:before="0" w:after="0"/>
              <w:jc w:val="both"/>
              <w:rPr>
                <w:rFonts w:ascii="arial" w:hAnsi="arial"/>
                <w:color w:val="D8D8D8"/>
                <w:sz w:val="16"/>
              </w:rPr>
            </w:pPr>
            <w:r>
              <w:rPr>
                <w:rFonts w:ascii="arial" w:hAnsi="arial"/>
                <w:color w:val="D8D8D8"/>
                <w:sz w:val="16"/>
              </w:rPr>
              <w:t>Audit Committee (Member)</w:t>
            </w:r>
          </w:p>
          <w:p>
            <w:pPr>
              <w:pStyle w:val="TableContents"/>
              <w:spacing w:before="0" w:after="0"/>
              <w:jc w:val="both"/>
              <w:rPr>
                <w:rFonts w:ascii="arial" w:hAnsi="arial"/>
                <w:color w:val="D8D8D8"/>
                <w:sz w:val="16"/>
              </w:rPr>
            </w:pPr>
            <w:r>
              <w:rPr>
                <w:rFonts w:ascii="arial" w:hAnsi="arial"/>
                <w:color w:val="D8D8D8"/>
                <w:sz w:val="16"/>
              </w:rPr>
              <w:t>Compensation Committee (Member)</w:t>
            </w:r>
          </w:p>
          <w:p>
            <w:pPr>
              <w:pStyle w:val="TableContents"/>
              <w:spacing w:before="0" w:after="20"/>
              <w:jc w:val="left"/>
              <w:rPr/>
            </w:pPr>
            <w:r>
              <w:rPr/>
              <w:t> </w:t>
            </w:r>
          </w:p>
        </w:tc>
      </w:tr>
    </w:tbl>
    <w:p>
      <w:pPr>
        <w:pStyle w:val="TextBody"/>
        <w:spacing w:before="200" w:after="0"/>
        <w:jc w:val="both"/>
        <w:rPr>
          <w:rFonts w:ascii="arial" w:hAnsi="arial"/>
          <w:b/>
          <w:sz w:val="18"/>
        </w:rPr>
      </w:pPr>
      <w:r>
        <w:rPr>
          <w:rFonts w:ascii="arial" w:hAnsi="arial"/>
          <w:b/>
          <w:sz w:val="18"/>
        </w:rPr>
        <w:t xml:space="preserve">Professional Experience </w:t>
      </w:r>
    </w:p>
    <w:p>
      <w:pPr>
        <w:pStyle w:val="TextBody"/>
        <w:spacing w:before="0" w:after="0"/>
        <w:jc w:val="both"/>
        <w:rPr>
          <w:rFonts w:ascii="arial" w:hAnsi="arial"/>
          <w:sz w:val="18"/>
        </w:rPr>
      </w:pPr>
      <w:r>
        <w:rPr>
          <w:rFonts w:ascii="arial" w:hAnsi="arial"/>
          <w:sz w:val="18"/>
        </w:rPr>
        <w:t xml:space="preserve">Mr. Sawyer served as the President and Chief Executive Officer of Regis Corporation beginning in April 2017, a corporation that owns, franchises and operates beauty salons worldwide. Mr. Sawyer retired from Regis in October 2020. Mr. Sawyer previously served as a managing director at Huron, starting in January 2010, and led the Operational Improvement Service Line for Hurons Business Advisory Practice. He has more than 35 years of experience leading operational improvements, turnarounds, mergers and acquisitions and strategic transformations for both public and private companies across a diverse group of industries. While at Huron, he served as Interim President and CEO of JHT Holdings, Inc., a provider of specialized transportation and logistics services, from January 2010 to March 2012; as the Chief Administrative Officer of Fisker Automotive Inc. (now known as Fisker Inc.), a manufacturer of hybrid electric vehicles, from January 2013 to March 2013; as Chief Restructuring Officer of Fisker Automotive from March 2013 to October 2013; and as Interim President of Euramax International, Inc., a global manufacturer of building products, from February 2014 to August 2015. Including Regis, he has served as the president or chief executive officer of nine companies, including Wells Fargo Armored Service Corporation, The Cunningham Group, Inc., National Linen Service, Inc., Aegis Communications Group, Inc., Allied Holdings, Inc., and Legendary Holdings, Inc. </w:t>
      </w:r>
    </w:p>
    <w:p>
      <w:pPr>
        <w:pStyle w:val="TextBody"/>
        <w:spacing w:before="200" w:after="0"/>
        <w:jc w:val="both"/>
        <w:rPr>
          <w:rFonts w:ascii="arial" w:hAnsi="arial"/>
          <w:b/>
          <w:sz w:val="18"/>
        </w:rPr>
      </w:pPr>
      <w:r>
        <w:rPr>
          <w:rFonts w:ascii="arial" w:hAnsi="arial"/>
          <w:b/>
          <w:sz w:val="18"/>
        </w:rPr>
        <w:t xml:space="preserve">Board Service </w:t>
      </w:r>
    </w:p>
    <w:p>
      <w:pPr>
        <w:pStyle w:val="TextBody"/>
        <w:spacing w:before="0" w:after="0"/>
        <w:jc w:val="both"/>
        <w:rPr>
          <w:rFonts w:ascii="arial" w:hAnsi="arial"/>
          <w:sz w:val="18"/>
        </w:rPr>
      </w:pPr>
      <w:r>
        <w:rPr>
          <w:rFonts w:ascii="arial" w:hAnsi="arial"/>
          <w:sz w:val="18"/>
        </w:rPr>
        <w:t xml:space="preserve">During the last five years, Mr. Sawyer previously served on the boards of Regis Corporation, JHT Holdings, Inc., Energy Future Competitive Holdings Company LLC and its subsidiary, Texas Competitive Electric Holdings Company LLC, and on the board of managing trustees of the Edison Mission Energy Reorganization Trust. </w:t>
      </w:r>
    </w:p>
    <w:p>
      <w:pPr>
        <w:pStyle w:val="TextBody"/>
        <w:spacing w:before="200" w:after="0"/>
        <w:jc w:val="both"/>
        <w:rPr>
          <w:rFonts w:ascii="arial" w:hAnsi="arial"/>
          <w:b/>
          <w:sz w:val="18"/>
        </w:rPr>
      </w:pPr>
      <w:r>
        <w:rPr>
          <w:rFonts w:ascii="arial" w:hAnsi="arial"/>
          <w:b/>
          <w:sz w:val="18"/>
        </w:rPr>
        <w:t xml:space="preserve">Education </w:t>
      </w:r>
    </w:p>
    <w:p>
      <w:pPr>
        <w:pStyle w:val="TextBody"/>
        <w:spacing w:before="0" w:after="0"/>
        <w:jc w:val="both"/>
        <w:rPr>
          <w:rFonts w:ascii="arial" w:hAnsi="arial"/>
          <w:sz w:val="18"/>
        </w:rPr>
      </w:pPr>
      <w:r>
        <w:rPr>
          <w:rFonts w:ascii="arial" w:hAnsi="arial"/>
          <w:sz w:val="18"/>
        </w:rPr>
        <w:t xml:space="preserve">Mr. Sawyer received a B.A. in English with honors from the University of Florida. </w:t>
      </w:r>
    </w:p>
    <w:p>
      <w:pPr>
        <w:pStyle w:val="TextBody"/>
        <w:spacing w:before="200" w:after="0"/>
        <w:jc w:val="both"/>
        <w:rPr>
          <w:rFonts w:ascii="arial" w:hAnsi="arial"/>
          <w:b/>
          <w:sz w:val="18"/>
        </w:rPr>
      </w:pPr>
      <w:r>
        <w:rPr>
          <w:rFonts w:ascii="arial" w:hAnsi="arial"/>
          <w:b/>
          <w:sz w:val="18"/>
        </w:rPr>
        <w:t xml:space="preserve">Individual Contributions </w:t>
      </w:r>
    </w:p>
    <w:p>
      <w:pPr>
        <w:pStyle w:val="TextBody"/>
        <w:spacing w:before="0" w:after="0"/>
        <w:jc w:val="both"/>
        <w:rPr>
          <w:rFonts w:ascii="arial" w:hAnsi="arial"/>
          <w:sz w:val="18"/>
        </w:rPr>
      </w:pPr>
      <w:r>
        <w:rPr>
          <w:rFonts w:ascii="arial" w:hAnsi="arial"/>
          <w:sz w:val="18"/>
        </w:rPr>
        <w:t xml:space="preserve">Mr. Sawyer has a proven history of providing transformational leadership to companies in a broad range of industries, including consumer retail, utilities, healthcare, transportation and logistics, CRM solutions and telecommunications, automotive, and real estate development. Mr. Sawyer also has an extensive governance background as a board member for numerous businesses with sophisticated constituents facing complex circumstances, and has brought this experience with him to the Huron board.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448"/>
        <w:gridCol w:w="120"/>
        <w:gridCol w:w="8637"/>
      </w:tblGrid>
      <w:tr>
        <w:trPr/>
        <w:tc>
          <w:tcPr>
            <w:tcW w:w="14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637" w:type="dxa"/>
            <w:tcBorders/>
            <w:shd w:fill="auto" w:val="clear"/>
            <w:vAlign w:val="center"/>
          </w:tcPr>
          <w:p>
            <w:pPr>
              <w:pStyle w:val="TableContents"/>
              <w:spacing w:before="0" w:after="283"/>
              <w:rPr>
                <w:sz w:val="4"/>
                <w:szCs w:val="4"/>
              </w:rPr>
            </w:pPr>
            <w:r>
              <w:rPr>
                <w:sz w:val="4"/>
                <w:szCs w:val="4"/>
              </w:rPr>
            </w:r>
          </w:p>
        </w:tc>
      </w:tr>
      <w:tr>
        <w:trPr/>
        <w:tc>
          <w:tcPr>
            <w:tcW w:w="1448" w:type="dxa"/>
            <w:tcBorders/>
            <w:shd w:fill="00548B" w:val="clear"/>
          </w:tcPr>
          <w:p>
            <w:pPr>
              <w:pStyle w:val="TableContents"/>
              <w:spacing w:before="0" w:after="0"/>
              <w:rPr/>
            </w:pPr>
            <w:r>
              <w:rPr/>
              <w:drawing>
                <wp:inline distT="0" distB="0" distL="0" distR="0">
                  <wp:extent cx="91440" cy="118110"/>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embed="rId15"/>
                          <a:stretch>
                            <a:fillRect/>
                          </a:stretch>
                        </pic:blipFill>
                        <pic:spPr bwMode="auto">
                          <a:xfrm>
                            <a:off x="0" y="0"/>
                            <a:ext cx="91440" cy="118110"/>
                          </a:xfrm>
                          <a:prstGeom prst="rect">
                            <a:avLst/>
                          </a:prstGeom>
                        </pic:spPr>
                      </pic:pic>
                    </a:graphicData>
                  </a:graphic>
                </wp:inline>
              </w:drawing>
            </w:r>
            <w:r>
              <w:rPr/>
              <w:t xml:space="preserve"> </w:t>
            </w:r>
          </w:p>
        </w:tc>
        <w:tc>
          <w:tcPr>
            <w:tcW w:w="120" w:type="dxa"/>
            <w:tcBorders/>
            <w:shd w:fill="00548B" w:val="clear"/>
            <w:vAlign w:val="bottom"/>
          </w:tcPr>
          <w:p>
            <w:pPr>
              <w:pStyle w:val="TableContents"/>
              <w:spacing w:before="0" w:after="283"/>
              <w:rPr/>
            </w:pPr>
            <w:r>
              <w:rPr/>
              <w:t>  </w:t>
            </w:r>
          </w:p>
        </w:tc>
        <w:tc>
          <w:tcPr>
            <w:tcW w:w="8637" w:type="dxa"/>
            <w:tcBorders/>
            <w:shd w:fill="00548B" w:val="clear"/>
            <w:vAlign w:val="center"/>
          </w:tcPr>
          <w:p>
            <w:pPr>
              <w:pStyle w:val="TableContents"/>
              <w:spacing w:before="0" w:after="0"/>
              <w:rPr>
                <w:rFonts w:ascii="arial" w:hAnsi="arial"/>
                <w:b/>
                <w:color w:val="D8D8D8"/>
                <w:sz w:val="18"/>
              </w:rPr>
            </w:pPr>
            <w:r>
              <w:rPr>
                <w:rFonts w:ascii="arial" w:hAnsi="arial"/>
                <w:b/>
                <w:color w:val="D8D8D8"/>
                <w:sz w:val="18"/>
              </w:rPr>
              <w:t>Debra Zumwalt</w:t>
            </w:r>
          </w:p>
          <w:p>
            <w:pPr>
              <w:pStyle w:val="TableContents"/>
              <w:spacing w:before="0" w:after="0"/>
              <w:jc w:val="both"/>
              <w:rPr>
                <w:rFonts w:ascii="arial" w:hAnsi="arial"/>
                <w:color w:val="D8D8D8"/>
                <w:sz w:val="16"/>
              </w:rPr>
            </w:pPr>
            <w:r>
              <w:rPr>
                <w:rFonts w:ascii="arial" w:hAnsi="arial"/>
                <w:color w:val="D8D8D8"/>
                <w:sz w:val="16"/>
              </w:rPr>
              <w:t>Director since October 2014</w:t>
            </w:r>
          </w:p>
          <w:p>
            <w:pPr>
              <w:pStyle w:val="TableContents"/>
              <w:spacing w:before="0" w:after="0"/>
              <w:jc w:val="both"/>
              <w:rPr>
                <w:rFonts w:ascii="arial" w:hAnsi="arial"/>
                <w:color w:val="D8D8D8"/>
                <w:sz w:val="16"/>
              </w:rPr>
            </w:pPr>
            <w:r>
              <w:rPr>
                <w:rFonts w:ascii="arial" w:hAnsi="arial"/>
                <w:color w:val="D8D8D8"/>
                <w:sz w:val="16"/>
              </w:rPr>
              <w:t>Compensation Committee (Chair)</w:t>
            </w:r>
          </w:p>
          <w:p>
            <w:pPr>
              <w:pStyle w:val="TableContents"/>
              <w:spacing w:before="0" w:after="0"/>
              <w:jc w:val="both"/>
              <w:rPr>
                <w:rFonts w:ascii="arial" w:hAnsi="arial"/>
                <w:color w:val="D8D8D8"/>
                <w:sz w:val="16"/>
              </w:rPr>
            </w:pPr>
            <w:r>
              <w:rPr>
                <w:rFonts w:ascii="arial" w:hAnsi="arial"/>
                <w:color w:val="D8D8D8"/>
                <w:sz w:val="16"/>
              </w:rPr>
              <w:t>Nominating and Corporate Governance Committee (Member)</w:t>
            </w:r>
          </w:p>
          <w:p>
            <w:pPr>
              <w:pStyle w:val="TableContents"/>
              <w:spacing w:before="0" w:after="0"/>
              <w:jc w:val="both"/>
              <w:rPr>
                <w:rFonts w:ascii="arial" w:hAnsi="arial"/>
                <w:color w:val="D8D8D8"/>
                <w:sz w:val="16"/>
              </w:rPr>
            </w:pPr>
            <w:r>
              <w:rPr>
                <w:rFonts w:ascii="arial" w:hAnsi="arial"/>
                <w:color w:val="D8D8D8"/>
                <w:sz w:val="16"/>
              </w:rPr>
              <w:t>Technology and Information Security Commitee (Member)</w:t>
            </w:r>
          </w:p>
          <w:p>
            <w:pPr>
              <w:pStyle w:val="TableContents"/>
              <w:spacing w:before="0" w:after="20"/>
              <w:jc w:val="left"/>
              <w:rPr/>
            </w:pPr>
            <w:r>
              <w:rPr/>
              <w:t> </w:t>
            </w:r>
          </w:p>
        </w:tc>
      </w:tr>
    </w:tbl>
    <w:p>
      <w:pPr>
        <w:pStyle w:val="TextBody"/>
        <w:spacing w:before="200" w:after="0"/>
        <w:jc w:val="both"/>
        <w:rPr>
          <w:rFonts w:ascii="arial" w:hAnsi="arial"/>
          <w:b/>
          <w:sz w:val="18"/>
        </w:rPr>
      </w:pPr>
      <w:r>
        <w:rPr>
          <w:rFonts w:ascii="arial" w:hAnsi="arial"/>
          <w:b/>
          <w:sz w:val="18"/>
        </w:rPr>
        <w:t xml:space="preserve">Professional Experience </w:t>
      </w:r>
    </w:p>
    <w:p>
      <w:pPr>
        <w:pStyle w:val="TextBody"/>
        <w:spacing w:before="0" w:after="0"/>
        <w:jc w:val="both"/>
        <w:rPr>
          <w:rFonts w:ascii="arial" w:hAnsi="arial"/>
          <w:sz w:val="18"/>
        </w:rPr>
      </w:pPr>
      <w:r>
        <w:rPr>
          <w:rFonts w:ascii="arial" w:hAnsi="arial"/>
          <w:sz w:val="18"/>
        </w:rPr>
        <w:t xml:space="preserve">Since 2001, Ms. Zumwalt has been the Vice President and General Counsel of Stanford University and is in charge of the legal services provided to the University and its affiliated hospitals with combined annual revenues of over $12 billion. Ms. Zumwalt is a member of the University Cabinet and provides governance, legal and strategic advice to the boards of the University, Stanford Health Care, Lucile Packard Childrens Hospital at Stanford, and Stanford Management Company, which manages over $30 billion in assets. Ms. Zumwalt is also a member of the board of overseers for SLAC National Accelerator Laboratory at Stanford, and a director of SUMIT Holding International, LLC, SUMIT Insurance Company Ltd. and PEAC, a holding company and insurance companies providing insurance coverage for the Stanford hospitals and physicians. From 1993 to 2001, Ms. Zumwalt was a partner at Pillsbury Winthrop LLP, where she specialized in complex civil litigation and higher education law, and served as managing partner of the Silicon Valley office and a member of the firms governing board. Previously, from 1987 to 1993, Ms. Zumwalt was Senior University Counsel at Stanford, responsible for advising and representing the University in connection with congressional hearings, criminal and civil investigations, negotiations and litigation matters. Prior to joining Stanford in 1987, Ms. Zumwalt worked as litigation counsel for Chevron Chemical Company and as a litigation associate for Pillsbury Winthrop LLP in San Francisco. </w:t>
      </w:r>
    </w:p>
    <w:p>
      <w:pPr>
        <w:pStyle w:val="TextBody"/>
        <w:spacing w:before="200" w:after="0"/>
        <w:jc w:val="both"/>
        <w:rPr>
          <w:rFonts w:ascii="arial" w:hAnsi="arial"/>
          <w:b/>
          <w:sz w:val="18"/>
        </w:rPr>
      </w:pPr>
      <w:r>
        <w:rPr>
          <w:rFonts w:ascii="arial" w:hAnsi="arial"/>
          <w:b/>
          <w:sz w:val="18"/>
        </w:rPr>
        <w:t xml:space="preserve">Board Service </w:t>
      </w:r>
    </w:p>
    <w:p>
      <w:pPr>
        <w:pStyle w:val="TextBody"/>
        <w:spacing w:before="0" w:after="0"/>
        <w:jc w:val="both"/>
        <w:rPr>
          <w:rFonts w:ascii="arial" w:hAnsi="arial"/>
          <w:sz w:val="18"/>
        </w:rPr>
      </w:pPr>
      <w:r>
        <w:rPr>
          <w:rFonts w:ascii="arial" w:hAnsi="arial"/>
          <w:sz w:val="18"/>
        </w:rPr>
        <w:t xml:space="preserve">Ms. Zumwalt currently serves on the board of Exponent, Inc., a public engineering and scientific consulting company and on the board of the American University of Afghanistan. Ms. Zumwalt previously served on other nonprofit boards in education and legal services. </w:t>
      </w:r>
    </w:p>
    <w:p>
      <w:pPr>
        <w:pStyle w:val="TextBody"/>
        <w:spacing w:before="200" w:after="0"/>
        <w:jc w:val="both"/>
        <w:rPr>
          <w:rFonts w:ascii="arial" w:hAnsi="arial"/>
          <w:b/>
          <w:sz w:val="18"/>
        </w:rPr>
      </w:pPr>
      <w:r>
        <w:rPr>
          <w:rFonts w:ascii="arial" w:hAnsi="arial"/>
          <w:b/>
          <w:sz w:val="18"/>
        </w:rPr>
        <w:t xml:space="preserve">Education </w:t>
      </w:r>
    </w:p>
    <w:p>
      <w:pPr>
        <w:pStyle w:val="TextBody"/>
        <w:spacing w:before="0" w:after="0"/>
        <w:jc w:val="both"/>
        <w:rPr>
          <w:rFonts w:ascii="arial" w:hAnsi="arial"/>
          <w:sz w:val="18"/>
        </w:rPr>
      </w:pPr>
      <w:r>
        <w:rPr>
          <w:rFonts w:ascii="arial" w:hAnsi="arial"/>
          <w:sz w:val="18"/>
        </w:rPr>
        <w:t xml:space="preserve">Ms. Zumwalt received a B.S. in Political Science from Arizona State University and a J.D. from Stanford Law School. </w:t>
      </w:r>
    </w:p>
    <w:p>
      <w:pPr>
        <w:pStyle w:val="TextBody"/>
        <w:spacing w:before="200" w:after="0"/>
        <w:jc w:val="both"/>
        <w:rPr>
          <w:rFonts w:ascii="arial" w:hAnsi="arial"/>
          <w:b/>
          <w:sz w:val="18"/>
        </w:rPr>
      </w:pPr>
      <w:r>
        <w:rPr>
          <w:rFonts w:ascii="arial" w:hAnsi="arial"/>
          <w:b/>
          <w:sz w:val="18"/>
        </w:rPr>
        <w:t xml:space="preserve">Individual Contributions </w:t>
      </w:r>
    </w:p>
    <w:p>
      <w:pPr>
        <w:pStyle w:val="TextBody"/>
        <w:spacing w:before="0" w:after="0"/>
        <w:jc w:val="both"/>
        <w:rPr>
          <w:rFonts w:ascii="arial" w:hAnsi="arial"/>
          <w:sz w:val="18"/>
        </w:rPr>
      </w:pPr>
      <w:r>
        <w:rPr>
          <w:rFonts w:ascii="arial" w:hAnsi="arial"/>
          <w:sz w:val="18"/>
        </w:rPr>
        <w:t xml:space="preserve">Given the many roles she serves in connection with her position as chief legal officer of a university with three affiliated hospitals, Ms. Zumwalt is uniquely qualified to share with the Huron board her experience with navigating the challenges faced by both higher education and healthcare organizations. Ms. Zumwalt also contributes to the Huron board a perspective on the law and governance through her background as a former partner of a well-renowned law firm and her current membership on the boards of corporate and academic organizations.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0"/>
        </w:rPr>
      </w:pPr>
      <w:bookmarkStart w:id="9" w:name="toc170561_7"/>
      <w:bookmarkEnd w:id="9"/>
      <w:r>
        <w:rPr>
          <w:rFonts w:ascii="arial" w:hAnsi="arial"/>
          <w:b/>
          <w:color w:val="00548B"/>
          <w:sz w:val="20"/>
        </w:rPr>
        <w:t>D</w:t>
      </w:r>
      <w:r>
        <w:rPr>
          <w:rFonts w:ascii="arial" w:hAnsi="arial"/>
          <w:b/>
          <w:color w:val="00548B"/>
          <w:sz w:val="14"/>
        </w:rPr>
        <w:t>IRECTORS</w:t>
      </w:r>
      <w:r>
        <w:rPr>
          <w:rFonts w:ascii="arial" w:hAnsi="arial"/>
          <w:b/>
          <w:color w:val="00548B"/>
          <w:sz w:val="20"/>
        </w:rPr>
        <w:t xml:space="preserve"> N</w:t>
      </w:r>
      <w:r>
        <w:rPr>
          <w:rFonts w:ascii="arial" w:hAnsi="arial"/>
          <w:b/>
          <w:color w:val="00548B"/>
          <w:sz w:val="14"/>
        </w:rPr>
        <w:t>OT</w:t>
      </w:r>
      <w:r>
        <w:rPr>
          <w:rFonts w:ascii="arial" w:hAnsi="arial"/>
          <w:b/>
          <w:color w:val="00548B"/>
          <w:sz w:val="20"/>
        </w:rPr>
        <w:t xml:space="preserve"> S</w:t>
      </w:r>
      <w:r>
        <w:rPr>
          <w:rFonts w:ascii="arial" w:hAnsi="arial"/>
          <w:b/>
          <w:color w:val="00548B"/>
          <w:sz w:val="14"/>
        </w:rPr>
        <w:t>TANDING</w:t>
      </w:r>
      <w:r>
        <w:rPr>
          <w:rFonts w:ascii="arial" w:hAnsi="arial"/>
          <w:b/>
          <w:color w:val="00548B"/>
          <w:sz w:val="20"/>
        </w:rPr>
        <w:t xml:space="preserve"> </w:t>
      </w:r>
      <w:r>
        <w:rPr>
          <w:rFonts w:ascii="arial" w:hAnsi="arial"/>
          <w:b/>
          <w:color w:val="00548B"/>
          <w:sz w:val="14"/>
        </w:rPr>
        <w:t>FOR</w:t>
      </w:r>
      <w:r>
        <w:rPr>
          <w:rFonts w:ascii="arial" w:hAnsi="arial"/>
          <w:b/>
          <w:color w:val="00548B"/>
          <w:sz w:val="20"/>
        </w:rPr>
        <w:t xml:space="preserve"> E</w:t>
      </w:r>
      <w:r>
        <w:rPr>
          <w:rFonts w:ascii="arial" w:hAnsi="arial"/>
          <w:b/>
          <w:color w:val="00548B"/>
          <w:sz w:val="14"/>
        </w:rPr>
        <w:t>LECTION</w:t>
      </w:r>
      <w:r>
        <w:rPr>
          <w:rFonts w:ascii="arial" w:hAnsi="arial"/>
          <w:b/>
          <w:color w:val="00548B"/>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455"/>
        <w:gridCol w:w="128"/>
        <w:gridCol w:w="8622"/>
      </w:tblGrid>
      <w:tr>
        <w:trPr/>
        <w:tc>
          <w:tcPr>
            <w:tcW w:w="1455" w:type="dxa"/>
            <w:tcBorders/>
            <w:shd w:fill="auto" w:val="clear"/>
            <w:vAlign w:val="center"/>
          </w:tcPr>
          <w:p>
            <w:pPr>
              <w:pStyle w:val="TableContents"/>
              <w:spacing w:before="0" w:after="283"/>
              <w:rPr>
                <w:sz w:val="4"/>
                <w:szCs w:val="4"/>
              </w:rPr>
            </w:pPr>
            <w:r>
              <w:rPr>
                <w:sz w:val="4"/>
                <w:szCs w:val="4"/>
              </w:rPr>
            </w:r>
          </w:p>
        </w:tc>
        <w:tc>
          <w:tcPr>
            <w:tcW w:w="128" w:type="dxa"/>
            <w:tcBorders/>
            <w:shd w:fill="auto" w:val="clear"/>
            <w:vAlign w:val="bottom"/>
          </w:tcPr>
          <w:p>
            <w:pPr>
              <w:pStyle w:val="TableContents"/>
              <w:spacing w:before="0" w:after="283"/>
              <w:rPr>
                <w:sz w:val="4"/>
                <w:szCs w:val="4"/>
              </w:rPr>
            </w:pPr>
            <w:r>
              <w:rPr>
                <w:sz w:val="4"/>
                <w:szCs w:val="4"/>
              </w:rPr>
            </w:r>
          </w:p>
        </w:tc>
        <w:tc>
          <w:tcPr>
            <w:tcW w:w="8622" w:type="dxa"/>
            <w:tcBorders/>
            <w:shd w:fill="auto" w:val="clear"/>
            <w:vAlign w:val="center"/>
          </w:tcPr>
          <w:p>
            <w:pPr>
              <w:pStyle w:val="TableContents"/>
              <w:spacing w:before="0" w:after="283"/>
              <w:rPr>
                <w:sz w:val="4"/>
                <w:szCs w:val="4"/>
              </w:rPr>
            </w:pPr>
            <w:r>
              <w:rPr>
                <w:sz w:val="4"/>
                <w:szCs w:val="4"/>
              </w:rPr>
            </w:r>
          </w:p>
        </w:tc>
      </w:tr>
      <w:tr>
        <w:trPr/>
        <w:tc>
          <w:tcPr>
            <w:tcW w:w="1455" w:type="dxa"/>
            <w:tcBorders/>
            <w:shd w:fill="00548B" w:val="clear"/>
          </w:tcPr>
          <w:p>
            <w:pPr>
              <w:pStyle w:val="TableContents"/>
              <w:spacing w:before="0" w:after="283"/>
              <w:rPr/>
            </w:pPr>
            <w:r>
              <w:rPr/>
              <w:drawing>
                <wp:inline distT="0" distB="0" distL="0" distR="0">
                  <wp:extent cx="91440" cy="118110"/>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embed="rId16"/>
                          <a:stretch>
                            <a:fillRect/>
                          </a:stretch>
                        </pic:blipFill>
                        <pic:spPr bwMode="auto">
                          <a:xfrm>
                            <a:off x="0" y="0"/>
                            <a:ext cx="91440" cy="118110"/>
                          </a:xfrm>
                          <a:prstGeom prst="rect">
                            <a:avLst/>
                          </a:prstGeom>
                        </pic:spPr>
                      </pic:pic>
                    </a:graphicData>
                  </a:graphic>
                </wp:inline>
              </w:drawing>
            </w:r>
            <w:r>
              <w:rPr/>
              <w:t xml:space="preserve"> </w:t>
            </w:r>
          </w:p>
        </w:tc>
        <w:tc>
          <w:tcPr>
            <w:tcW w:w="128" w:type="dxa"/>
            <w:tcBorders/>
            <w:shd w:fill="00548B" w:val="clear"/>
            <w:vAlign w:val="bottom"/>
          </w:tcPr>
          <w:p>
            <w:pPr>
              <w:pStyle w:val="TableContents"/>
              <w:spacing w:before="0" w:after="283"/>
              <w:rPr/>
            </w:pPr>
            <w:r>
              <w:rPr/>
              <w:t>  </w:t>
            </w:r>
          </w:p>
        </w:tc>
        <w:tc>
          <w:tcPr>
            <w:tcW w:w="8622" w:type="dxa"/>
            <w:tcBorders/>
            <w:shd w:fill="00548B" w:val="clear"/>
            <w:vAlign w:val="center"/>
          </w:tcPr>
          <w:p>
            <w:pPr>
              <w:pStyle w:val="TableContents"/>
              <w:spacing w:before="0" w:after="0"/>
              <w:rPr>
                <w:rFonts w:ascii="arial" w:hAnsi="arial"/>
                <w:b/>
                <w:color w:val="D8D8D8"/>
                <w:sz w:val="18"/>
              </w:rPr>
            </w:pPr>
            <w:r>
              <w:rPr>
                <w:rFonts w:ascii="arial" w:hAnsi="arial"/>
                <w:b/>
                <w:color w:val="D8D8D8"/>
                <w:sz w:val="18"/>
              </w:rPr>
              <w:t>James H. Roth</w:t>
            </w:r>
          </w:p>
          <w:p>
            <w:pPr>
              <w:pStyle w:val="TableContents"/>
              <w:spacing w:before="0" w:after="0"/>
              <w:jc w:val="both"/>
              <w:rPr>
                <w:rFonts w:ascii="arial" w:hAnsi="arial"/>
                <w:color w:val="D8D8D8"/>
                <w:sz w:val="16"/>
              </w:rPr>
            </w:pPr>
            <w:r>
              <w:rPr>
                <w:rFonts w:ascii="arial" w:hAnsi="arial"/>
                <w:color w:val="D8D8D8"/>
                <w:sz w:val="16"/>
              </w:rPr>
              <w:t>Director since November 2009</w:t>
            </w:r>
          </w:p>
          <w:p>
            <w:pPr>
              <w:pStyle w:val="TableContents"/>
              <w:spacing w:before="0" w:after="0"/>
              <w:jc w:val="left"/>
              <w:rPr>
                <w:rFonts w:ascii="arial" w:hAnsi="arial"/>
                <w:color w:val="D8D8D8"/>
                <w:sz w:val="16"/>
              </w:rPr>
            </w:pPr>
            <w:r>
              <w:rPr>
                <w:rFonts w:ascii="arial" w:hAnsi="arial"/>
                <w:color w:val="D8D8D8"/>
                <w:sz w:val="16"/>
              </w:rPr>
              <w:t>Chief Executive Officer of Huron Consulting Group Inc. and Huron Consulting Services LLC (July 2009)</w:t>
            </w:r>
          </w:p>
          <w:p>
            <w:pPr>
              <w:pStyle w:val="TableContents"/>
              <w:spacing w:before="0" w:after="20"/>
              <w:rPr/>
            </w:pPr>
            <w:r>
              <w:rPr/>
              <w:t> </w:t>
            </w:r>
          </w:p>
        </w:tc>
      </w:tr>
    </w:tbl>
    <w:p>
      <w:pPr>
        <w:pStyle w:val="TextBody"/>
        <w:spacing w:before="200" w:after="0"/>
        <w:jc w:val="both"/>
        <w:rPr>
          <w:rFonts w:ascii="arial" w:hAnsi="arial"/>
          <w:b/>
          <w:sz w:val="18"/>
        </w:rPr>
      </w:pPr>
      <w:r>
        <w:rPr>
          <w:rFonts w:ascii="arial" w:hAnsi="arial"/>
          <w:b/>
          <w:sz w:val="18"/>
        </w:rPr>
        <w:t xml:space="preserve">Professional Experience </w:t>
      </w:r>
    </w:p>
    <w:p>
      <w:pPr>
        <w:pStyle w:val="TextBody"/>
        <w:spacing w:before="0" w:after="0"/>
        <w:jc w:val="both"/>
        <w:rPr>
          <w:rFonts w:ascii="arial" w:hAnsi="arial"/>
          <w:sz w:val="18"/>
        </w:rPr>
      </w:pPr>
      <w:r>
        <w:rPr>
          <w:rFonts w:ascii="arial" w:hAnsi="arial"/>
          <w:sz w:val="18"/>
        </w:rPr>
        <w:t xml:space="preserve">As a founding member of Huron, Mr. Roth guided and grew Hurons Higher Education consulting practice to a position of preeminence in the industry. He has more than 35 years of consulting experience working with many of the premier research universities and academic medical centers. Under his leadership as CEO, Huron has been named one of Forbes Best Management Consulting Firms, one of Forbes Americas Best Employers and by Consulting magazine as one of the Best Firms to Work For. He served as President of Huron from March 2011 to February 2019. He also served as Vice President, Health and Education Consulting for the Company from January 2007 until July 2009. Since Hurons inception in 2002, until he became CEO, Mr. Roth was a managing director and practice leader of the Companys Higher Education consulting practice, which he grew into one of our largest organically grown practices within the Company. </w:t>
      </w:r>
    </w:p>
    <w:p>
      <w:pPr>
        <w:pStyle w:val="TextBody"/>
        <w:spacing w:before="200" w:after="0"/>
        <w:jc w:val="both"/>
        <w:rPr>
          <w:rFonts w:ascii="arial" w:hAnsi="arial"/>
          <w:b/>
          <w:sz w:val="18"/>
        </w:rPr>
      </w:pPr>
      <w:r>
        <w:rPr>
          <w:rFonts w:ascii="arial" w:hAnsi="arial"/>
          <w:b/>
          <w:sz w:val="18"/>
        </w:rPr>
        <w:t xml:space="preserve">Board Service </w:t>
      </w:r>
    </w:p>
    <w:p>
      <w:pPr>
        <w:pStyle w:val="TextBody"/>
        <w:spacing w:before="0" w:after="0"/>
        <w:jc w:val="both"/>
        <w:rPr>
          <w:rFonts w:ascii="arial" w:hAnsi="arial"/>
          <w:sz w:val="18"/>
        </w:rPr>
      </w:pPr>
      <w:r>
        <w:rPr>
          <w:rFonts w:ascii="arial" w:hAnsi="arial"/>
          <w:sz w:val="18"/>
        </w:rPr>
        <w:t xml:space="preserve">Mr. Roth has served on the boards of Shorelight Holdings LLC, a U.S.-based company focused on partnering with leading nonprofit universities to increase access and retention of international students and boost institutional growth since 2014, of Keypath Education Holdings, LLC, a leading provider of comprehensive marketing and enrollment management services to colleges and universities, since 2014 and Lurie Childrens Pediatric Anesthesia Associates, a Chicago-based medical group practice, since 2019. During the last five years, Mr. Roth previously served on the board of Aviv REIT, a self-administered real estate investment trust specializing in skilled nursing facilities. </w:t>
      </w:r>
    </w:p>
    <w:p>
      <w:pPr>
        <w:pStyle w:val="TextBody"/>
        <w:spacing w:before="200" w:after="0"/>
        <w:jc w:val="both"/>
        <w:rPr>
          <w:rFonts w:ascii="arial" w:hAnsi="arial"/>
          <w:b/>
          <w:sz w:val="18"/>
        </w:rPr>
      </w:pPr>
      <w:r>
        <w:rPr>
          <w:rFonts w:ascii="arial" w:hAnsi="arial"/>
          <w:b/>
          <w:sz w:val="18"/>
        </w:rPr>
        <w:t xml:space="preserve">Education </w:t>
      </w:r>
    </w:p>
    <w:p>
      <w:pPr>
        <w:pStyle w:val="TextBody"/>
        <w:spacing w:before="0" w:after="0"/>
        <w:jc w:val="both"/>
        <w:rPr>
          <w:rFonts w:ascii="arial" w:hAnsi="arial"/>
          <w:sz w:val="18"/>
        </w:rPr>
      </w:pPr>
      <w:r>
        <w:rPr>
          <w:rFonts w:ascii="arial" w:hAnsi="arial"/>
          <w:sz w:val="18"/>
        </w:rPr>
        <w:t xml:space="preserve">Mr. Roth received a B.A. in Political Science and Economics from Vanderbilt University and an M.B.A. from Southern Methodist University. </w:t>
      </w:r>
    </w:p>
    <w:p>
      <w:pPr>
        <w:pStyle w:val="TextBody"/>
        <w:spacing w:before="200" w:after="0"/>
        <w:jc w:val="both"/>
        <w:rPr>
          <w:rFonts w:ascii="arial" w:hAnsi="arial"/>
          <w:b/>
          <w:sz w:val="18"/>
        </w:rPr>
      </w:pPr>
      <w:r>
        <w:rPr>
          <w:rFonts w:ascii="arial" w:hAnsi="arial"/>
          <w:b/>
          <w:sz w:val="18"/>
        </w:rPr>
        <w:t xml:space="preserve">Individual Contributions </w:t>
      </w:r>
    </w:p>
    <w:p>
      <w:pPr>
        <w:pStyle w:val="TextBody"/>
        <w:spacing w:before="0" w:after="0"/>
        <w:jc w:val="both"/>
        <w:rPr>
          <w:rFonts w:ascii="arial" w:hAnsi="arial"/>
          <w:sz w:val="18"/>
        </w:rPr>
      </w:pPr>
      <w:r>
        <w:rPr>
          <w:rFonts w:ascii="arial" w:hAnsi="arial"/>
          <w:sz w:val="18"/>
        </w:rPr>
        <w:t xml:space="preserve">Through his distinguished career as both an officer and consultant at Huron, Mr. Roth brings to the board his hands-on perspective of the strategy and operations of institutions of higher education and academic medical centers, including their research facilities. Twice named by </w:t>
      </w:r>
      <w:r>
        <w:rPr>
          <w:rFonts w:ascii="arial" w:hAnsi="arial"/>
          <w:i/>
          <w:sz w:val="18"/>
        </w:rPr>
        <w:t>Consulting</w:t>
      </w:r>
      <w:r>
        <w:rPr>
          <w:rFonts w:ascii="arial" w:hAnsi="arial"/>
          <w:sz w:val="18"/>
        </w:rPr>
        <w:t xml:space="preserve"> magazine as one of the Top 25 Most Influential Consultants, Mr. Roth contributes to the board a unique understanding of the Huron organization, the consulting business, and the businesses of our clients.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448"/>
        <w:gridCol w:w="120"/>
        <w:gridCol w:w="8637"/>
      </w:tblGrid>
      <w:tr>
        <w:trPr/>
        <w:tc>
          <w:tcPr>
            <w:tcW w:w="1448"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8637" w:type="dxa"/>
            <w:tcBorders/>
            <w:shd w:fill="auto" w:val="clear"/>
            <w:vAlign w:val="center"/>
          </w:tcPr>
          <w:p>
            <w:pPr>
              <w:pStyle w:val="TableContents"/>
              <w:spacing w:before="0" w:after="283"/>
              <w:rPr>
                <w:sz w:val="4"/>
                <w:szCs w:val="4"/>
              </w:rPr>
            </w:pPr>
            <w:r>
              <w:rPr>
                <w:sz w:val="4"/>
                <w:szCs w:val="4"/>
              </w:rPr>
            </w:r>
          </w:p>
        </w:tc>
      </w:tr>
      <w:tr>
        <w:trPr/>
        <w:tc>
          <w:tcPr>
            <w:tcW w:w="1448" w:type="dxa"/>
            <w:tcBorders/>
            <w:shd w:fill="00548B" w:val="clear"/>
          </w:tcPr>
          <w:p>
            <w:pPr>
              <w:pStyle w:val="TableContents"/>
              <w:spacing w:before="0" w:after="283"/>
              <w:rPr/>
            </w:pPr>
            <w:r>
              <w:rPr/>
              <w:drawing>
                <wp:inline distT="0" distB="0" distL="0" distR="0">
                  <wp:extent cx="91440" cy="118110"/>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embed="rId17"/>
                          <a:stretch>
                            <a:fillRect/>
                          </a:stretch>
                        </pic:blipFill>
                        <pic:spPr bwMode="auto">
                          <a:xfrm>
                            <a:off x="0" y="0"/>
                            <a:ext cx="91440" cy="118110"/>
                          </a:xfrm>
                          <a:prstGeom prst="rect">
                            <a:avLst/>
                          </a:prstGeom>
                        </pic:spPr>
                      </pic:pic>
                    </a:graphicData>
                  </a:graphic>
                </wp:inline>
              </w:drawing>
            </w:r>
            <w:r>
              <w:rPr/>
              <w:t xml:space="preserve"> </w:t>
            </w:r>
          </w:p>
        </w:tc>
        <w:tc>
          <w:tcPr>
            <w:tcW w:w="120" w:type="dxa"/>
            <w:tcBorders/>
            <w:shd w:fill="00548B" w:val="clear"/>
            <w:vAlign w:val="bottom"/>
          </w:tcPr>
          <w:p>
            <w:pPr>
              <w:pStyle w:val="TableContents"/>
              <w:spacing w:before="0" w:after="283"/>
              <w:rPr/>
            </w:pPr>
            <w:r>
              <w:rPr/>
              <w:t>  </w:t>
            </w:r>
          </w:p>
        </w:tc>
        <w:tc>
          <w:tcPr>
            <w:tcW w:w="8637" w:type="dxa"/>
            <w:tcBorders/>
            <w:shd w:fill="00548B" w:val="clear"/>
            <w:vAlign w:val="center"/>
          </w:tcPr>
          <w:p>
            <w:pPr>
              <w:pStyle w:val="TableContents"/>
              <w:spacing w:before="0" w:after="0"/>
              <w:rPr>
                <w:rFonts w:ascii="arial" w:hAnsi="arial"/>
                <w:b/>
                <w:color w:val="D8D8D8"/>
                <w:sz w:val="18"/>
              </w:rPr>
            </w:pPr>
            <w:r>
              <w:rPr>
                <w:rFonts w:ascii="arial" w:hAnsi="arial"/>
                <w:b/>
                <w:color w:val="D8D8D8"/>
                <w:sz w:val="18"/>
              </w:rPr>
              <w:t>H. Eugene Lockhart</w:t>
            </w:r>
          </w:p>
          <w:p>
            <w:pPr>
              <w:pStyle w:val="TableContents"/>
              <w:spacing w:before="0" w:after="0"/>
              <w:jc w:val="both"/>
              <w:rPr>
                <w:rFonts w:ascii="arial" w:hAnsi="arial"/>
                <w:color w:val="D8D8D8"/>
                <w:sz w:val="16"/>
              </w:rPr>
            </w:pPr>
            <w:r>
              <w:rPr>
                <w:rFonts w:ascii="arial" w:hAnsi="arial"/>
                <w:color w:val="D8D8D8"/>
                <w:sz w:val="16"/>
              </w:rPr>
              <w:t>Director since December 2006</w:t>
            </w:r>
          </w:p>
          <w:p>
            <w:pPr>
              <w:pStyle w:val="TableContents"/>
              <w:spacing w:before="0" w:after="0"/>
              <w:jc w:val="left"/>
              <w:rPr>
                <w:rFonts w:ascii="arial" w:hAnsi="arial"/>
                <w:color w:val="D8D8D8"/>
                <w:sz w:val="16"/>
              </w:rPr>
            </w:pPr>
            <w:r>
              <w:rPr>
                <w:rFonts w:ascii="arial" w:hAnsi="arial"/>
                <w:color w:val="D8D8D8"/>
                <w:sz w:val="16"/>
              </w:rPr>
              <w:t>Audit Committee (Chair)</w:t>
            </w:r>
          </w:p>
          <w:p>
            <w:pPr>
              <w:pStyle w:val="TableContents"/>
              <w:spacing w:before="0" w:after="0"/>
              <w:rPr>
                <w:rFonts w:ascii="arial" w:hAnsi="arial"/>
                <w:color w:val="D8D8D8"/>
                <w:sz w:val="16"/>
              </w:rPr>
            </w:pPr>
            <w:r>
              <w:rPr>
                <w:rFonts w:ascii="arial" w:hAnsi="arial"/>
                <w:color w:val="D8D8D8"/>
                <w:sz w:val="16"/>
              </w:rPr>
              <w:t>Compensation Committee (Member)</w:t>
            </w:r>
          </w:p>
          <w:p>
            <w:pPr>
              <w:pStyle w:val="TableContents"/>
              <w:spacing w:before="0" w:after="0"/>
              <w:rPr>
                <w:rFonts w:ascii="arial" w:hAnsi="arial"/>
                <w:color w:val="D8D8D8"/>
                <w:sz w:val="16"/>
              </w:rPr>
            </w:pPr>
            <w:r>
              <w:rPr>
                <w:rFonts w:ascii="arial" w:hAnsi="arial"/>
                <w:color w:val="D8D8D8"/>
                <w:sz w:val="16"/>
              </w:rPr>
              <w:t>Technology and Information Security Committee (Member)</w:t>
            </w:r>
          </w:p>
          <w:p>
            <w:pPr>
              <w:pStyle w:val="TableContents"/>
              <w:spacing w:before="0" w:after="20"/>
              <w:rPr/>
            </w:pPr>
            <w:r>
              <w:rPr/>
              <w:t> </w:t>
            </w:r>
          </w:p>
        </w:tc>
      </w:tr>
    </w:tbl>
    <w:p>
      <w:pPr>
        <w:pStyle w:val="TextBody"/>
        <w:spacing w:before="200" w:after="0"/>
        <w:jc w:val="both"/>
        <w:rPr>
          <w:rFonts w:ascii="arial" w:hAnsi="arial"/>
          <w:b/>
          <w:sz w:val="18"/>
        </w:rPr>
      </w:pPr>
      <w:r>
        <w:rPr>
          <w:rFonts w:ascii="arial" w:hAnsi="arial"/>
          <w:b/>
          <w:sz w:val="18"/>
        </w:rPr>
        <w:t xml:space="preserve">Professional Experience </w:t>
      </w:r>
    </w:p>
    <w:p>
      <w:pPr>
        <w:pStyle w:val="TextBody"/>
        <w:spacing w:before="0" w:after="0"/>
        <w:jc w:val="both"/>
        <w:rPr>
          <w:rFonts w:ascii="arial" w:hAnsi="arial"/>
          <w:sz w:val="18"/>
        </w:rPr>
      </w:pPr>
      <w:r>
        <w:rPr>
          <w:rFonts w:ascii="arial" w:hAnsi="arial"/>
          <w:sz w:val="18"/>
        </w:rPr>
        <w:t xml:space="preserve">Since October 2014, Mr. Lockhart has been the founder, Chairman and Managing Partner of MissionOG LLC, a venture capital firm with significant operational and investment experience across the financial services and payments industries. Since July 2020, Mr. Lockhart has served as a Senior Advisor to Blackstone across the firms business, with a focus on Blackstone Growth and Blackstone Tactical Opportunities. He also served as Special Adviser at General Atlantic LLC, a leading global growth investment firm, from 2012 to 2019. From 2002 until 2012, Mr. Lockhart was a venture partner at Oak Investment Partners, a venture capital firm. Through these investment firms, Mr. Lockhart has been actively involved in overseeing the management of high growth companies, including NetSpend, Argus Information, Metro Bank PLC, CLIP, DemystData, Factor Trust, Avant, BillDesk, and others. Prior leadership positions include President of Global Retail Bank at Bank of America, President and Chief Executive Officer of MasterCard International, and CEO of Midland Bank plc. </w:t>
      </w:r>
    </w:p>
    <w:p>
      <w:pPr>
        <w:pStyle w:val="TextBody"/>
        <w:spacing w:before="200" w:after="0"/>
        <w:jc w:val="both"/>
        <w:rPr>
          <w:rFonts w:ascii="arial" w:hAnsi="arial"/>
          <w:b/>
          <w:sz w:val="18"/>
        </w:rPr>
      </w:pPr>
      <w:r>
        <w:rPr>
          <w:rFonts w:ascii="arial" w:hAnsi="arial"/>
          <w:b/>
          <w:sz w:val="18"/>
        </w:rPr>
        <w:t xml:space="preserve">Board Service </w:t>
      </w:r>
    </w:p>
    <w:p>
      <w:pPr>
        <w:pStyle w:val="TextBody"/>
        <w:spacing w:before="0" w:after="0"/>
        <w:jc w:val="both"/>
        <w:rPr>
          <w:rFonts w:ascii="arial" w:hAnsi="arial"/>
          <w:sz w:val="18"/>
        </w:rPr>
      </w:pPr>
      <w:r>
        <w:rPr>
          <w:rFonts w:ascii="arial" w:hAnsi="arial"/>
          <w:sz w:val="18"/>
        </w:rPr>
        <w:t xml:space="preserve">Mr. Lockhart has served on the board of Metro Bank PLC, a public retail bank operating in the U.K., since 2011 (currently as the Chair of the risk and audit committee) and on the board of Community Choice Financial, a public neighborhood-based financial services company (currently as a member of the compensation committee) since 2018. During the last five years, Mr. Lockhart previously served on the board of Aarons, Inc., a lease-to-own retailer of furnishings, electronics and appliances, and on the board and as audit committee Chairman of RadioShack Corporation, a retail seller of consumer electronic goods and services. Additionally, Mr. Lockhart has previously served on numerous philanthropic boards, including as Chair of the Thomas Jefferson Foundation (Monticello) and as the Chairman of the Darden School Foundation at the University of Virginia. </w:t>
      </w:r>
    </w:p>
    <w:p>
      <w:pPr>
        <w:pStyle w:val="TextBody"/>
        <w:spacing w:before="200" w:after="0"/>
        <w:jc w:val="both"/>
        <w:rPr>
          <w:rFonts w:ascii="arial" w:hAnsi="arial"/>
          <w:b/>
          <w:sz w:val="18"/>
        </w:rPr>
      </w:pPr>
      <w:r>
        <w:rPr>
          <w:rFonts w:ascii="arial" w:hAnsi="arial"/>
          <w:b/>
          <w:sz w:val="18"/>
        </w:rPr>
        <w:t xml:space="preserve">Education </w:t>
      </w:r>
    </w:p>
    <w:p>
      <w:pPr>
        <w:pStyle w:val="TextBody"/>
        <w:spacing w:before="0" w:after="0"/>
        <w:jc w:val="both"/>
        <w:rPr>
          <w:rFonts w:ascii="arial" w:hAnsi="arial"/>
          <w:sz w:val="18"/>
        </w:rPr>
      </w:pPr>
      <w:r>
        <w:rPr>
          <w:rFonts w:ascii="arial" w:hAnsi="arial"/>
          <w:sz w:val="18"/>
        </w:rPr>
        <w:t xml:space="preserve">Mr. Lockhart received a B.S. in Mechanical Engineering from the University of Virginia and an M.B.A. from The Darden Graduate School of Business at the University of Virginia. In addition, Mr. Lockhart is a Certified Public Accountant, licensed in the Commonwealth of Virginia. </w:t>
      </w:r>
    </w:p>
    <w:p>
      <w:pPr>
        <w:pStyle w:val="TextBody"/>
        <w:spacing w:before="200" w:after="0"/>
        <w:jc w:val="both"/>
        <w:rPr>
          <w:rFonts w:ascii="arial" w:hAnsi="arial"/>
          <w:b/>
          <w:sz w:val="18"/>
        </w:rPr>
      </w:pPr>
      <w:r>
        <w:rPr>
          <w:rFonts w:ascii="arial" w:hAnsi="arial"/>
          <w:b/>
          <w:sz w:val="18"/>
        </w:rPr>
        <w:t xml:space="preserve">Individual Contributions </w:t>
      </w:r>
    </w:p>
    <w:p>
      <w:pPr>
        <w:pStyle w:val="TextBody"/>
        <w:spacing w:before="0" w:after="0"/>
        <w:jc w:val="both"/>
        <w:rPr>
          <w:rFonts w:ascii="arial" w:hAnsi="arial"/>
          <w:sz w:val="18"/>
        </w:rPr>
      </w:pPr>
      <w:r>
        <w:rPr>
          <w:rFonts w:ascii="arial" w:hAnsi="arial"/>
          <w:sz w:val="18"/>
        </w:rPr>
        <w:t xml:space="preserve">Mr. Lockhart brings to Hurons board his considerable experience overseeing and growing companies in which he represents venture capital investors, his experience as chief executive officer of leading corporations, and his service on the boards of companies and foundations in such fields as healthcare, education, pharmaceuticals, and financial services. In addition, as a former executive and chairman of some of the most visible companies in the world, Mr. Lockhart contributes a broad array of contacts to Huron.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448"/>
        <w:gridCol w:w="121"/>
        <w:gridCol w:w="8636"/>
      </w:tblGrid>
      <w:tr>
        <w:trPr/>
        <w:tc>
          <w:tcPr>
            <w:tcW w:w="1448"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8636" w:type="dxa"/>
            <w:tcBorders/>
            <w:shd w:fill="auto" w:val="clear"/>
            <w:vAlign w:val="center"/>
          </w:tcPr>
          <w:p>
            <w:pPr>
              <w:pStyle w:val="TableContents"/>
              <w:spacing w:before="0" w:after="283"/>
              <w:rPr>
                <w:sz w:val="4"/>
                <w:szCs w:val="4"/>
              </w:rPr>
            </w:pPr>
            <w:r>
              <w:rPr>
                <w:sz w:val="4"/>
                <w:szCs w:val="4"/>
              </w:rPr>
            </w:r>
          </w:p>
        </w:tc>
      </w:tr>
      <w:tr>
        <w:trPr/>
        <w:tc>
          <w:tcPr>
            <w:tcW w:w="1448" w:type="dxa"/>
            <w:tcBorders/>
            <w:shd w:fill="00548B" w:val="clear"/>
          </w:tcPr>
          <w:p>
            <w:pPr>
              <w:pStyle w:val="TableContents"/>
              <w:spacing w:before="0" w:after="0"/>
              <w:rPr/>
            </w:pPr>
            <w:r>
              <w:rPr/>
              <w:drawing>
                <wp:inline distT="0" distB="0" distL="0" distR="0">
                  <wp:extent cx="91440" cy="118110"/>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embed="rId18"/>
                          <a:stretch>
                            <a:fillRect/>
                          </a:stretch>
                        </pic:blipFill>
                        <pic:spPr bwMode="auto">
                          <a:xfrm>
                            <a:off x="0" y="0"/>
                            <a:ext cx="91440" cy="118110"/>
                          </a:xfrm>
                          <a:prstGeom prst="rect">
                            <a:avLst/>
                          </a:prstGeom>
                        </pic:spPr>
                      </pic:pic>
                    </a:graphicData>
                  </a:graphic>
                </wp:inline>
              </w:drawing>
            </w:r>
            <w:r>
              <w:rPr/>
              <w:t xml:space="preserve"> </w:t>
            </w:r>
          </w:p>
        </w:tc>
        <w:tc>
          <w:tcPr>
            <w:tcW w:w="121" w:type="dxa"/>
            <w:tcBorders/>
            <w:shd w:fill="00548B" w:val="clear"/>
            <w:vAlign w:val="bottom"/>
          </w:tcPr>
          <w:p>
            <w:pPr>
              <w:pStyle w:val="TableContents"/>
              <w:spacing w:before="0" w:after="283"/>
              <w:rPr/>
            </w:pPr>
            <w:r>
              <w:rPr/>
              <w:t>  </w:t>
            </w:r>
          </w:p>
        </w:tc>
        <w:tc>
          <w:tcPr>
            <w:tcW w:w="8636" w:type="dxa"/>
            <w:tcBorders/>
            <w:shd w:fill="00548B" w:val="clear"/>
            <w:vAlign w:val="center"/>
          </w:tcPr>
          <w:p>
            <w:pPr>
              <w:pStyle w:val="TableContents"/>
              <w:spacing w:before="0" w:after="0"/>
              <w:rPr>
                <w:rFonts w:ascii="arial" w:hAnsi="arial"/>
                <w:b/>
                <w:color w:val="D8D8D8"/>
                <w:sz w:val="18"/>
              </w:rPr>
            </w:pPr>
            <w:r>
              <w:rPr>
                <w:rFonts w:ascii="arial" w:hAnsi="arial"/>
                <w:b/>
                <w:color w:val="D8D8D8"/>
                <w:sz w:val="18"/>
              </w:rPr>
              <w:t>John McCartney</w:t>
            </w:r>
          </w:p>
          <w:p>
            <w:pPr>
              <w:pStyle w:val="TableContents"/>
              <w:spacing w:before="0" w:after="0"/>
              <w:jc w:val="both"/>
              <w:rPr>
                <w:rFonts w:ascii="arial" w:hAnsi="arial"/>
                <w:color w:val="D8D8D8"/>
                <w:sz w:val="16"/>
              </w:rPr>
            </w:pPr>
            <w:r>
              <w:rPr>
                <w:rFonts w:ascii="arial" w:hAnsi="arial"/>
                <w:color w:val="D8D8D8"/>
                <w:sz w:val="16"/>
              </w:rPr>
              <w:t>Director since October 2004</w:t>
            </w:r>
          </w:p>
          <w:p>
            <w:pPr>
              <w:pStyle w:val="TableContents"/>
              <w:spacing w:before="0" w:after="0"/>
              <w:jc w:val="both"/>
              <w:rPr>
                <w:rFonts w:ascii="arial" w:hAnsi="arial"/>
                <w:color w:val="D8D8D8"/>
                <w:sz w:val="16"/>
              </w:rPr>
            </w:pPr>
            <w:r>
              <w:rPr>
                <w:rFonts w:ascii="arial" w:hAnsi="arial"/>
                <w:color w:val="D8D8D8"/>
                <w:sz w:val="16"/>
              </w:rPr>
              <w:t>Non-executive Chairman of the Board (May 2010)</w:t>
            </w:r>
          </w:p>
          <w:p>
            <w:pPr>
              <w:pStyle w:val="TableContents"/>
              <w:spacing w:before="0" w:after="0"/>
              <w:jc w:val="both"/>
              <w:rPr>
                <w:rFonts w:ascii="arial" w:hAnsi="arial"/>
                <w:color w:val="D8D8D8"/>
                <w:sz w:val="16"/>
              </w:rPr>
            </w:pPr>
            <w:r>
              <w:rPr>
                <w:rFonts w:ascii="arial" w:hAnsi="arial"/>
                <w:color w:val="D8D8D8"/>
                <w:sz w:val="16"/>
              </w:rPr>
              <w:t>Nominating and Corporate Governance Committee (Chair)</w:t>
            </w:r>
          </w:p>
          <w:p>
            <w:pPr>
              <w:pStyle w:val="TableContents"/>
              <w:spacing w:before="0" w:after="0"/>
              <w:jc w:val="both"/>
              <w:rPr>
                <w:rFonts w:ascii="arial" w:hAnsi="arial"/>
                <w:color w:val="D8D8D8"/>
                <w:sz w:val="16"/>
              </w:rPr>
            </w:pPr>
            <w:r>
              <w:rPr>
                <w:rFonts w:ascii="arial" w:hAnsi="arial"/>
                <w:color w:val="D8D8D8"/>
                <w:sz w:val="16"/>
              </w:rPr>
              <w:t>Audit Committee (Member)</w:t>
            </w:r>
          </w:p>
          <w:p>
            <w:pPr>
              <w:pStyle w:val="TableContents"/>
              <w:spacing w:before="0" w:after="20"/>
              <w:jc w:val="left"/>
              <w:rPr/>
            </w:pPr>
            <w:r>
              <w:rPr/>
              <w:t> </w:t>
            </w:r>
          </w:p>
        </w:tc>
      </w:tr>
    </w:tbl>
    <w:p>
      <w:pPr>
        <w:pStyle w:val="TextBody"/>
        <w:spacing w:before="200" w:after="0"/>
        <w:jc w:val="both"/>
        <w:rPr>
          <w:rFonts w:ascii="arial" w:hAnsi="arial"/>
          <w:b/>
          <w:sz w:val="18"/>
        </w:rPr>
      </w:pPr>
      <w:r>
        <w:rPr>
          <w:rFonts w:ascii="arial" w:hAnsi="arial"/>
          <w:b/>
          <w:sz w:val="18"/>
        </w:rPr>
        <w:t xml:space="preserve">Professional Experience </w:t>
      </w:r>
    </w:p>
    <w:p>
      <w:pPr>
        <w:pStyle w:val="TextBody"/>
        <w:spacing w:before="0" w:after="0"/>
        <w:jc w:val="both"/>
        <w:rPr>
          <w:rFonts w:ascii="arial" w:hAnsi="arial"/>
          <w:sz w:val="18"/>
        </w:rPr>
      </w:pPr>
      <w:r>
        <w:rPr>
          <w:rFonts w:ascii="arial" w:hAnsi="arial"/>
          <w:sz w:val="18"/>
        </w:rPr>
        <w:t xml:space="preserve">Mr. McCartney joined the executive management team of US Robotics in March 1984 as Vice President and Chief Financial Officer. At US Robotics, he served in various executive capacities, including as Executive Vice President, International, until serving as President and Chief Operating Officer from January 1996 until its merger with 3Com Corporation in June 1997. From June 1997 to March 1998, Mr. McCartney held the position of President of 3Com Corporations Client Access Unit. </w:t>
      </w:r>
    </w:p>
    <w:p>
      <w:pPr>
        <w:pStyle w:val="TextBody"/>
        <w:spacing w:before="200" w:after="0"/>
        <w:jc w:val="both"/>
        <w:rPr>
          <w:rFonts w:ascii="arial" w:hAnsi="arial"/>
          <w:b/>
          <w:sz w:val="18"/>
        </w:rPr>
      </w:pPr>
      <w:r>
        <w:rPr>
          <w:rFonts w:ascii="arial" w:hAnsi="arial"/>
          <w:b/>
          <w:sz w:val="18"/>
        </w:rPr>
        <w:t xml:space="preserve">Board Service </w:t>
      </w:r>
    </w:p>
    <w:p>
      <w:pPr>
        <w:pStyle w:val="TextBody"/>
        <w:spacing w:before="0" w:after="0"/>
        <w:jc w:val="both"/>
        <w:rPr>
          <w:rFonts w:ascii="arial" w:hAnsi="arial"/>
          <w:sz w:val="18"/>
        </w:rPr>
      </w:pPr>
      <w:r>
        <w:rPr>
          <w:rFonts w:ascii="arial" w:hAnsi="arial"/>
          <w:sz w:val="18"/>
        </w:rPr>
        <w:t xml:space="preserve">Mr. McCartney has served on the board of Datatec Limited, a public networking technology and services company since 2007, where he currently is a member of its nominations committee. Mr. McCartney also serves as a director of EQT, Corp., a natural gas exploration and production company and as a member of its public policy and corporate responsibility, and corporate governance committees. During the last five years, Mr. McCartney previously served on the boards of Transco, Inc. a Chicago-based company that provides solutions to customers in the electric utility industry, Westcon Group, Inc., a specialty distributor of networking and communications equipment, Rice Energy Inc., an independent natural gas and oil company, and Covance Inc., a public drug development services company. In addition, Mr. McCartney served as Chairman of the board of trustees of Davidson College from 2004 to 2008. </w:t>
      </w:r>
    </w:p>
    <w:p>
      <w:pPr>
        <w:pStyle w:val="TextBody"/>
        <w:spacing w:before="200" w:after="0"/>
        <w:jc w:val="both"/>
        <w:rPr>
          <w:rFonts w:ascii="arial" w:hAnsi="arial"/>
          <w:b/>
          <w:sz w:val="18"/>
        </w:rPr>
      </w:pPr>
      <w:r>
        <w:rPr>
          <w:rFonts w:ascii="arial" w:hAnsi="arial"/>
          <w:b/>
          <w:sz w:val="18"/>
        </w:rPr>
        <w:t xml:space="preserve">Education </w:t>
      </w:r>
    </w:p>
    <w:p>
      <w:pPr>
        <w:pStyle w:val="TextBody"/>
        <w:spacing w:before="0" w:after="0"/>
        <w:jc w:val="both"/>
        <w:rPr>
          <w:rFonts w:ascii="arial" w:hAnsi="arial"/>
          <w:sz w:val="18"/>
        </w:rPr>
      </w:pPr>
      <w:r>
        <w:rPr>
          <w:rFonts w:ascii="arial" w:hAnsi="arial"/>
          <w:sz w:val="18"/>
        </w:rPr>
        <w:t xml:space="preserve">Mr. McCartney received a B.A. in Philosophy from Davidson College and an M.B.A. from The Wharton School of the University of Pennsylvania. </w:t>
      </w:r>
    </w:p>
    <w:p>
      <w:pPr>
        <w:pStyle w:val="TextBody"/>
        <w:spacing w:before="200" w:after="0"/>
        <w:jc w:val="both"/>
        <w:rPr>
          <w:rFonts w:ascii="arial" w:hAnsi="arial"/>
          <w:b/>
          <w:sz w:val="18"/>
        </w:rPr>
      </w:pPr>
      <w:r>
        <w:rPr>
          <w:rFonts w:ascii="arial" w:hAnsi="arial"/>
          <w:b/>
          <w:sz w:val="18"/>
        </w:rPr>
        <w:t xml:space="preserve">Individual Contributions </w:t>
      </w:r>
    </w:p>
    <w:p>
      <w:pPr>
        <w:pStyle w:val="TextBody"/>
        <w:spacing w:before="0" w:after="0"/>
        <w:jc w:val="both"/>
        <w:rPr>
          <w:rFonts w:ascii="arial" w:hAnsi="arial"/>
          <w:sz w:val="18"/>
        </w:rPr>
      </w:pPr>
      <w:r>
        <w:rPr>
          <w:rFonts w:ascii="arial" w:hAnsi="arial"/>
          <w:sz w:val="18"/>
        </w:rPr>
        <w:t xml:space="preserve">Mr. McCartney has served as chairman and vice chairman of the boards of a number of public and private organizations, including companies with a focus on healthcare and drug development and an institution of higher education. Mr. McCartney, a former Certified Public Accountant, brings to the Huron board, and the audit committee in particular, his prior experience as chief financial officer and chief operating officer of a public company, which has enabled him to contribute to Hurons development into a prominent consultancy. Mr. McCartney is based in Chicago, the location of Hurons principal business offices.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445"/>
        <w:gridCol w:w="121"/>
        <w:gridCol w:w="8639"/>
      </w:tblGrid>
      <w:tr>
        <w:trPr/>
        <w:tc>
          <w:tcPr>
            <w:tcW w:w="1445"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8639" w:type="dxa"/>
            <w:tcBorders/>
            <w:shd w:fill="auto" w:val="clear"/>
            <w:vAlign w:val="center"/>
          </w:tcPr>
          <w:p>
            <w:pPr>
              <w:pStyle w:val="TableContents"/>
              <w:spacing w:before="0" w:after="283"/>
              <w:rPr>
                <w:sz w:val="4"/>
                <w:szCs w:val="4"/>
              </w:rPr>
            </w:pPr>
            <w:r>
              <w:rPr>
                <w:sz w:val="4"/>
                <w:szCs w:val="4"/>
              </w:rPr>
            </w:r>
          </w:p>
        </w:tc>
      </w:tr>
      <w:tr>
        <w:trPr/>
        <w:tc>
          <w:tcPr>
            <w:tcW w:w="1445" w:type="dxa"/>
            <w:tcBorders/>
            <w:shd w:fill="02558C" w:val="clear"/>
          </w:tcPr>
          <w:p>
            <w:pPr>
              <w:pStyle w:val="TableContents"/>
              <w:spacing w:before="0" w:after="283"/>
              <w:rPr/>
            </w:pPr>
            <w:r>
              <w:rPr/>
              <w:drawing>
                <wp:inline distT="0" distB="0" distL="0" distR="0">
                  <wp:extent cx="91440" cy="111760"/>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embed="rId19"/>
                          <a:stretch>
                            <a:fillRect/>
                          </a:stretch>
                        </pic:blipFill>
                        <pic:spPr bwMode="auto">
                          <a:xfrm>
                            <a:off x="0" y="0"/>
                            <a:ext cx="91440" cy="111760"/>
                          </a:xfrm>
                          <a:prstGeom prst="rect">
                            <a:avLst/>
                          </a:prstGeom>
                        </pic:spPr>
                      </pic:pic>
                    </a:graphicData>
                  </a:graphic>
                </wp:inline>
              </w:drawing>
            </w:r>
            <w:r>
              <w:rPr/>
              <w:t xml:space="preserve"> </w:t>
            </w:r>
          </w:p>
        </w:tc>
        <w:tc>
          <w:tcPr>
            <w:tcW w:w="121" w:type="dxa"/>
            <w:tcBorders/>
            <w:shd w:fill="00548B" w:val="clear"/>
            <w:vAlign w:val="bottom"/>
          </w:tcPr>
          <w:p>
            <w:pPr>
              <w:pStyle w:val="TableContents"/>
              <w:spacing w:before="0" w:after="283"/>
              <w:rPr/>
            </w:pPr>
            <w:r>
              <w:rPr/>
              <w:t>  </w:t>
            </w:r>
          </w:p>
        </w:tc>
        <w:tc>
          <w:tcPr>
            <w:tcW w:w="8639" w:type="dxa"/>
            <w:tcBorders/>
            <w:shd w:fill="00548B" w:val="clear"/>
            <w:vAlign w:val="center"/>
          </w:tcPr>
          <w:p>
            <w:pPr>
              <w:pStyle w:val="TableContents"/>
              <w:spacing w:before="0" w:after="0"/>
              <w:rPr>
                <w:rFonts w:ascii="arial" w:hAnsi="arial"/>
                <w:b/>
                <w:color w:val="D8D8D8"/>
                <w:sz w:val="18"/>
              </w:rPr>
            </w:pPr>
            <w:r>
              <w:rPr>
                <w:rFonts w:ascii="arial" w:hAnsi="arial"/>
                <w:b/>
                <w:color w:val="D8D8D8"/>
                <w:sz w:val="18"/>
              </w:rPr>
              <w:t>Ekta Singh-Bushell</w:t>
            </w:r>
          </w:p>
          <w:p>
            <w:pPr>
              <w:pStyle w:val="TableContents"/>
              <w:spacing w:before="0" w:after="0"/>
              <w:jc w:val="both"/>
              <w:rPr>
                <w:rFonts w:ascii="arial" w:hAnsi="arial"/>
                <w:color w:val="D8D8D8"/>
                <w:sz w:val="16"/>
              </w:rPr>
            </w:pPr>
            <w:r>
              <w:rPr>
                <w:rFonts w:ascii="arial" w:hAnsi="arial"/>
                <w:color w:val="D8D8D8"/>
                <w:sz w:val="16"/>
              </w:rPr>
              <w:t>Director since May 2019</w:t>
            </w:r>
          </w:p>
          <w:p>
            <w:pPr>
              <w:pStyle w:val="TableContents"/>
              <w:spacing w:before="0" w:after="0"/>
              <w:jc w:val="both"/>
              <w:rPr>
                <w:rFonts w:ascii="arial" w:hAnsi="arial"/>
                <w:color w:val="D8D8D8"/>
                <w:sz w:val="16"/>
              </w:rPr>
            </w:pPr>
            <w:r>
              <w:rPr>
                <w:rFonts w:ascii="arial" w:hAnsi="arial"/>
                <w:color w:val="D8D8D8"/>
                <w:sz w:val="16"/>
              </w:rPr>
              <w:t>Technology and Information Security Committee (Chair)</w:t>
            </w:r>
          </w:p>
          <w:p>
            <w:pPr>
              <w:pStyle w:val="TableContents"/>
              <w:spacing w:before="0" w:after="0"/>
              <w:jc w:val="both"/>
              <w:rPr>
                <w:rFonts w:ascii="arial" w:hAnsi="arial"/>
                <w:color w:val="D8D8D8"/>
                <w:sz w:val="16"/>
              </w:rPr>
            </w:pPr>
            <w:r>
              <w:rPr>
                <w:rFonts w:ascii="arial" w:hAnsi="arial"/>
                <w:color w:val="D8D8D8"/>
                <w:sz w:val="16"/>
              </w:rPr>
              <w:t>Compensation Committee (Member)</w:t>
            </w:r>
          </w:p>
          <w:p>
            <w:pPr>
              <w:pStyle w:val="TableContents"/>
              <w:spacing w:before="0" w:after="0"/>
              <w:jc w:val="both"/>
              <w:rPr>
                <w:rFonts w:ascii="arial" w:hAnsi="arial"/>
                <w:color w:val="D8D8D8"/>
                <w:sz w:val="16"/>
              </w:rPr>
            </w:pPr>
            <w:r>
              <w:rPr>
                <w:rFonts w:ascii="arial" w:hAnsi="arial"/>
                <w:color w:val="D8D8D8"/>
                <w:sz w:val="16"/>
              </w:rPr>
              <w:t>Nominating and Corporate Governance Committee (Member)</w:t>
            </w:r>
          </w:p>
          <w:p>
            <w:pPr>
              <w:pStyle w:val="TableContents"/>
              <w:spacing w:before="0" w:after="20"/>
              <w:jc w:val="left"/>
              <w:rPr/>
            </w:pPr>
            <w:r>
              <w:rPr/>
              <w:t> </w:t>
            </w:r>
          </w:p>
        </w:tc>
      </w:tr>
    </w:tbl>
    <w:p>
      <w:pPr>
        <w:pStyle w:val="TextBody"/>
        <w:spacing w:before="200" w:after="0"/>
        <w:jc w:val="both"/>
        <w:rPr>
          <w:rFonts w:ascii="arial" w:hAnsi="arial"/>
          <w:b/>
          <w:sz w:val="18"/>
        </w:rPr>
      </w:pPr>
      <w:r>
        <w:rPr>
          <w:rFonts w:ascii="arial" w:hAnsi="arial"/>
          <w:b/>
          <w:sz w:val="18"/>
        </w:rPr>
        <w:t xml:space="preserve">Professional Experience </w:t>
      </w:r>
    </w:p>
    <w:p>
      <w:pPr>
        <w:pStyle w:val="TextBody"/>
        <w:spacing w:before="0" w:after="0"/>
        <w:jc w:val="both"/>
        <w:rPr>
          <w:rFonts w:ascii="arial" w:hAnsi="arial"/>
          <w:sz w:val="18"/>
        </w:rPr>
      </w:pPr>
      <w:r>
        <w:rPr>
          <w:rFonts w:ascii="arial" w:hAnsi="arial"/>
          <w:sz w:val="18"/>
        </w:rPr>
        <w:t xml:space="preserve">Ms. Singh-Bushell was the Chief Operating Officer, Executive Office at the Federal Reserve Bank of New York from 2016-2017. Prior to that, she spent over 17 years at Ernst &amp; Young (EY), where she served in various leadership roles, including Global Coordinating Partner, Americas Innovation &amp; Digital Strategy Leader, Global/Americas Tech Ops Executive, Global Information Security Officer and Northeast Advisory People Leader. During her tenure at EY she led transformations of companies across multiple industries through technological and digital change. Cranfield University nominated her to the 2017 Female FTSE Index: 100 Women to Watch, and in 2013, the Council of Urban Professionals recognized her contributions with a Catalyst Change Agent award. </w:t>
      </w:r>
    </w:p>
    <w:p>
      <w:pPr>
        <w:pStyle w:val="TextBody"/>
        <w:spacing w:before="200" w:after="0"/>
        <w:jc w:val="both"/>
        <w:rPr>
          <w:rFonts w:ascii="arial" w:hAnsi="arial"/>
          <w:b/>
          <w:sz w:val="18"/>
        </w:rPr>
      </w:pPr>
      <w:r>
        <w:rPr>
          <w:rFonts w:ascii="arial" w:hAnsi="arial"/>
          <w:b/>
          <w:sz w:val="18"/>
        </w:rPr>
        <w:t xml:space="preserve">Board Service </w:t>
      </w:r>
    </w:p>
    <w:p>
      <w:pPr>
        <w:pStyle w:val="TextBody"/>
        <w:spacing w:before="0" w:after="0"/>
        <w:jc w:val="both"/>
        <w:rPr>
          <w:rFonts w:ascii="arial" w:hAnsi="arial"/>
          <w:sz w:val="18"/>
        </w:rPr>
      </w:pPr>
      <w:r>
        <w:rPr>
          <w:rFonts w:ascii="arial" w:hAnsi="arial"/>
          <w:sz w:val="18"/>
        </w:rPr>
        <w:t xml:space="preserve">Ms. Singh-Bushell has served on the boards of NET 1 UEPS Technologies, Inc., a public financial technologies company, since 2018 (currently as Chair of the audit committee and member of the nominating and governance, and social and ethics committees), Designer Brands Inc., a public footwear and accessories company, since 2018 (currently as a member of the audit and nominating and governance committees), TTEC Holdings, Inc., a public consumer experience technology and services company, since 2017 (currently as a member of the audit and nominating and governance committees), and as the lead independent director of Datatec Limited, a public networking technology and services company, since 2018 (currently as a member of the audit, risk &amp; compliance, remunerations and nominations committees). Ms. Singh-Bushell has served as a strategic adviser to MissionOG since 2020 and DecisionGPS, LLC since 2015. </w:t>
      </w:r>
    </w:p>
    <w:p>
      <w:pPr>
        <w:pStyle w:val="TextBody"/>
        <w:spacing w:before="200" w:after="0"/>
        <w:jc w:val="both"/>
        <w:rPr>
          <w:rFonts w:ascii="arial" w:hAnsi="arial"/>
          <w:b/>
          <w:sz w:val="18"/>
        </w:rPr>
      </w:pPr>
      <w:r>
        <w:rPr>
          <w:rFonts w:ascii="arial" w:hAnsi="arial"/>
          <w:b/>
          <w:sz w:val="18"/>
        </w:rPr>
        <w:t xml:space="preserve">Education </w:t>
      </w:r>
    </w:p>
    <w:p>
      <w:pPr>
        <w:pStyle w:val="TextBody"/>
        <w:spacing w:before="0" w:after="0"/>
        <w:jc w:val="both"/>
        <w:rPr>
          <w:rFonts w:ascii="arial" w:hAnsi="arial"/>
          <w:sz w:val="18"/>
        </w:rPr>
      </w:pPr>
      <w:r>
        <w:rPr>
          <w:rFonts w:ascii="arial" w:hAnsi="arial"/>
          <w:sz w:val="18"/>
        </w:rPr>
        <w:t xml:space="preserve">Ms. Singh-Bushell received a Masters in Electrical Engineering &amp; Computer Science from the University of California, Berkeley and a Bachelors of Engineering from the University of Poona, India. In addition, Ms. Singh-Bushell is a licensed Certified Public Accountant and holds advanced international certifications in governance, information systems security, and audit. </w:t>
      </w:r>
    </w:p>
    <w:p>
      <w:pPr>
        <w:pStyle w:val="TextBody"/>
        <w:spacing w:before="200" w:after="0"/>
        <w:jc w:val="both"/>
        <w:rPr>
          <w:rFonts w:ascii="arial" w:hAnsi="arial"/>
          <w:b/>
          <w:sz w:val="18"/>
        </w:rPr>
      </w:pPr>
      <w:r>
        <w:rPr>
          <w:rFonts w:ascii="arial" w:hAnsi="arial"/>
          <w:b/>
          <w:sz w:val="18"/>
        </w:rPr>
        <w:t xml:space="preserve">Individual Contributions </w:t>
      </w:r>
    </w:p>
    <w:p>
      <w:pPr>
        <w:pStyle w:val="TextBody"/>
        <w:spacing w:before="0" w:after="0"/>
        <w:jc w:val="both"/>
        <w:rPr>
          <w:rFonts w:ascii="arial" w:hAnsi="arial"/>
          <w:sz w:val="18"/>
        </w:rPr>
      </w:pPr>
      <w:r>
        <w:rPr>
          <w:rFonts w:ascii="arial" w:hAnsi="arial"/>
          <w:sz w:val="18"/>
        </w:rPr>
        <w:t xml:space="preserve">Ms. Singh-Bushells extensive experience managing and leading a global professional services firm, advising senior executives around the globe, and serving on public company boards from various industries, coupled with her knowledge of technology, finance, and cybersecurity, enables her to bring a broad range of capabilities to the Huron board. She also offers a unique perspective through her diverse global management expertise, age and gender diversity and proven track record working on transformations in the digital and technology space.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0"/>
        </w:rPr>
      </w:pPr>
      <w:bookmarkStart w:id="10" w:name="toc170561_8"/>
      <w:bookmarkEnd w:id="10"/>
      <w:r>
        <w:rPr>
          <w:rFonts w:ascii="arial" w:hAnsi="arial"/>
          <w:b/>
          <w:color w:val="00548B"/>
          <w:sz w:val="20"/>
        </w:rPr>
        <w:t>D</w:t>
      </w:r>
      <w:r>
        <w:rPr>
          <w:rFonts w:ascii="arial" w:hAnsi="arial"/>
          <w:b/>
          <w:color w:val="00548B"/>
          <w:sz w:val="14"/>
        </w:rPr>
        <w:t>IRECTOR</w:t>
      </w:r>
      <w:r>
        <w:rPr>
          <w:rFonts w:ascii="arial" w:hAnsi="arial"/>
          <w:b/>
          <w:color w:val="00548B"/>
          <w:sz w:val="20"/>
        </w:rPr>
        <w:t xml:space="preserve"> I</w:t>
      </w:r>
      <w:r>
        <w:rPr>
          <w:rFonts w:ascii="arial" w:hAnsi="arial"/>
          <w:b/>
          <w:color w:val="00548B"/>
          <w:sz w:val="14"/>
        </w:rPr>
        <w:t>NDEPENDENCE</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Our board of directors makes an annual determination regarding the independence of each of our directors. The board also makes this determination for new director nominees. The board of directors has determined that each of Messrs. Lockhart, McCartney, Sawyer and Ms. Zumwalt and Ms. Singh-Bushell is independent as defined in the applicable listing standards of The NASDAQ Stock Market Inc. (NASDAQ). In making its determination, the board of directors considered the standards of independence set forth in the NASDAQ Corporate Governance Listing Standards and all relevant facts and circumstances to ascertain whether there was any relationship between a director and the Company that, in the opinion of the board of directors, would interfere with the exercise of independent judgment in carrying out the responsibilities of the director or any material relationship with the Company (either directly, or as a partner, stockholder or officer of an organization that has a relationship with the Company). In determining that Ms. Zumwalt is independent, the board of directors conducted a thorough review of payments made by Stanford University, which employs Ms. Zumwalt, to the Company for consulting services provided by the Company. After taking into consideration that revenues from Stanford University comprised 0.08% of Hurons revenues for the year 2020, 0.08% of Hurons revenues for the year 2019 and 0.14% of Hurons revenues for the year 2018, the board of directors determined that this relationship would not interfere with Ms.  Zumwalts exercise of independent judgment in carrying out her responsibilities as a director. </w:t>
      </w:r>
    </w:p>
    <w:p>
      <w:pPr>
        <w:pStyle w:val="TextBody"/>
        <w:spacing w:before="360" w:after="0"/>
        <w:jc w:val="both"/>
        <w:rPr>
          <w:rFonts w:ascii="arial" w:hAnsi="arial"/>
          <w:b/>
          <w:color w:val="00548B"/>
          <w:sz w:val="24"/>
        </w:rPr>
      </w:pPr>
      <w:bookmarkStart w:id="11" w:name="toc170561_9"/>
      <w:bookmarkEnd w:id="11"/>
      <w:r>
        <w:rPr>
          <w:rFonts w:ascii="arial" w:hAnsi="arial"/>
          <w:b/>
          <w:color w:val="00548B"/>
          <w:sz w:val="24"/>
        </w:rPr>
        <w:t xml:space="preserve">CORPORATE GOVERNANCE </w:t>
      </w:r>
    </w:p>
    <w:p>
      <w:pPr>
        <w:pStyle w:val="TextBody"/>
        <w:spacing w:before="120" w:after="0"/>
        <w:jc w:val="both"/>
        <w:rPr>
          <w:rFonts w:ascii="arial" w:hAnsi="arial"/>
          <w:b/>
          <w:color w:val="00548B"/>
          <w:sz w:val="20"/>
        </w:rPr>
      </w:pPr>
      <w:bookmarkStart w:id="12" w:name="toc170561_10"/>
      <w:bookmarkEnd w:id="12"/>
      <w:r>
        <w:rPr>
          <w:rFonts w:ascii="arial" w:hAnsi="arial"/>
          <w:b/>
          <w:color w:val="00548B"/>
          <w:sz w:val="20"/>
        </w:rPr>
        <w:t>B</w:t>
      </w:r>
      <w:r>
        <w:rPr>
          <w:rFonts w:ascii="arial" w:hAnsi="arial"/>
          <w:b/>
          <w:color w:val="00548B"/>
          <w:sz w:val="14"/>
        </w:rPr>
        <w:t>OARD</w:t>
      </w:r>
      <w:r>
        <w:rPr>
          <w:rFonts w:ascii="arial" w:hAnsi="arial"/>
          <w:b/>
          <w:color w:val="00548B"/>
          <w:sz w:val="20"/>
        </w:rPr>
        <w:t xml:space="preserve"> C</w:t>
      </w:r>
      <w:r>
        <w:rPr>
          <w:rFonts w:ascii="arial" w:hAnsi="arial"/>
          <w:b/>
          <w:color w:val="00548B"/>
          <w:sz w:val="14"/>
        </w:rPr>
        <w:t>OMPOSITION</w:t>
      </w:r>
      <w:r>
        <w:rPr>
          <w:rFonts w:ascii="arial" w:hAnsi="arial"/>
          <w:b/>
          <w:color w:val="00548B"/>
          <w:sz w:val="20"/>
        </w:rPr>
        <w:t>, L</w:t>
      </w:r>
      <w:r>
        <w:rPr>
          <w:rFonts w:ascii="arial" w:hAnsi="arial"/>
          <w:b/>
          <w:color w:val="00548B"/>
          <w:sz w:val="14"/>
        </w:rPr>
        <w:t>EADERSHIP</w:t>
      </w:r>
      <w:r>
        <w:rPr>
          <w:rFonts w:ascii="arial" w:hAnsi="arial"/>
          <w:b/>
          <w:color w:val="00548B"/>
          <w:sz w:val="20"/>
        </w:rPr>
        <w:t xml:space="preserve"> S</w:t>
      </w:r>
      <w:r>
        <w:rPr>
          <w:rFonts w:ascii="arial" w:hAnsi="arial"/>
          <w:b/>
          <w:color w:val="00548B"/>
          <w:sz w:val="14"/>
        </w:rPr>
        <w:t>TRUCTURE</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R</w:t>
      </w:r>
      <w:r>
        <w:rPr>
          <w:rFonts w:ascii="arial" w:hAnsi="arial"/>
          <w:b/>
          <w:color w:val="00548B"/>
          <w:sz w:val="14"/>
        </w:rPr>
        <w:t>ISK</w:t>
      </w:r>
      <w:r>
        <w:rPr>
          <w:rFonts w:ascii="arial" w:hAnsi="arial"/>
          <w:b/>
          <w:color w:val="00548B"/>
          <w:sz w:val="20"/>
        </w:rPr>
        <w:t xml:space="preserve"> O</w:t>
      </w:r>
      <w:r>
        <w:rPr>
          <w:rFonts w:ascii="arial" w:hAnsi="arial"/>
          <w:b/>
          <w:color w:val="00548B"/>
          <w:sz w:val="14"/>
        </w:rPr>
        <w:t>VERSIGHT</w:t>
      </w:r>
      <w:r>
        <w:rPr>
          <w:rFonts w:ascii="arial" w:hAnsi="arial"/>
          <w:b/>
          <w:color w:val="00548B"/>
          <w:sz w:val="20"/>
        </w:rPr>
        <w:t xml:space="preserve"> </w:t>
      </w:r>
    </w:p>
    <w:p>
      <w:pPr>
        <w:pStyle w:val="TextBody"/>
        <w:spacing w:before="80" w:after="0"/>
        <w:jc w:val="both"/>
        <w:rPr>
          <w:rFonts w:ascii="arial" w:hAnsi="arial"/>
          <w:b/>
          <w:color w:val="00548B"/>
          <w:sz w:val="20"/>
        </w:rPr>
      </w:pPr>
      <w:r>
        <w:rPr>
          <w:rFonts w:ascii="arial" w:hAnsi="arial"/>
          <w:b/>
          <w:color w:val="00548B"/>
          <w:sz w:val="20"/>
        </w:rPr>
        <w:t>B</w:t>
      </w:r>
      <w:r>
        <w:rPr>
          <w:rFonts w:ascii="arial" w:hAnsi="arial"/>
          <w:b/>
          <w:color w:val="00548B"/>
          <w:sz w:val="14"/>
        </w:rPr>
        <w:t>OARD</w:t>
      </w:r>
      <w:r>
        <w:rPr>
          <w:rFonts w:ascii="arial" w:hAnsi="arial"/>
          <w:b/>
          <w:color w:val="00548B"/>
          <w:sz w:val="20"/>
        </w:rPr>
        <w:t xml:space="preserve"> C</w:t>
      </w:r>
      <w:r>
        <w:rPr>
          <w:rFonts w:ascii="arial" w:hAnsi="arial"/>
          <w:b/>
          <w:color w:val="00548B"/>
          <w:sz w:val="14"/>
        </w:rPr>
        <w:t>OMPOSITION</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Nominating and Corporate Governance Committee, in conjunction with the Chair and the full board, is actively evaluating the future composition of the board in light of the age, tenure and experience of its current members. This multi-year refresh process is intended to ensure that the board has the best mix of knowledge, skills, diversity and business acumen, derived from high quality professional experience, to evaluate and support the Companys strategy going forward. The Nominating and Corporate Governance Committee believes that its current directors, several of whom have extensive experience leading and managing professional service businesses, provide significant insight into the Company and its operations and provide valuable contributions to the board. The Committee also recognizes the potential benefits of the fresh perspectives that highly qualified new directors might bring to the board as well as the benefits of increased innovation and creativity that is fostered by greater diversity on the board. </w:t>
      </w:r>
    </w:p>
    <w:p>
      <w:pPr>
        <w:pStyle w:val="TextBody"/>
        <w:spacing w:before="200" w:after="0"/>
        <w:jc w:val="both"/>
        <w:rPr>
          <w:rFonts w:ascii="arial" w:hAnsi="arial"/>
          <w:sz w:val="18"/>
        </w:rPr>
      </w:pPr>
      <w:r>
        <w:rPr>
          <w:rFonts w:ascii="arial" w:hAnsi="arial"/>
          <w:sz w:val="18"/>
        </w:rPr>
        <w:t xml:space="preserve">The Nominating and Corporate Governance Committee will consider a variety of factors as it works to enhance the composition of the board, increase diversity, reduce average tenure and ensure structured and orderly board succession through a process of both board member additions and retirements. As a result, during the next several years, the board may occasionally expand or contract as the refresh process is executed. It is the expressed desire of the board that it continue to remain relatively small in number and composed principally of non-executive directors. In light of the impact of COVID-19 on the ability to conduct in-person conversations with potential new directors, the board is moving judiciously toward the goal of adding additional directors over the next several quarters. </w:t>
      </w:r>
    </w:p>
    <w:p>
      <w:pPr>
        <w:pStyle w:val="TextBody"/>
        <w:spacing w:before="200" w:after="0"/>
        <w:jc w:val="both"/>
        <w:rPr>
          <w:rFonts w:ascii="arial" w:hAnsi="arial"/>
          <w:sz w:val="18"/>
        </w:rPr>
      </w:pPr>
      <w:r>
        <w:rPr>
          <w:rFonts w:ascii="arial" w:hAnsi="arial"/>
          <w:sz w:val="18"/>
        </w:rPr>
        <w:t xml:space="preserve">The Nominating and Corporate Governance Committee will consider as director candidates qualified individuals recommended by stockholders through the process described below and, although it has not done so in the past, may consider candidates identified by professional search firms. </w:t>
      </w:r>
    </w:p>
    <w:p>
      <w:pPr>
        <w:pStyle w:val="TextBody"/>
        <w:spacing w:before="200" w:after="0"/>
        <w:jc w:val="both"/>
        <w:rPr>
          <w:rFonts w:ascii="arial" w:hAnsi="arial"/>
          <w:b/>
          <w:color w:val="00548B"/>
          <w:sz w:val="20"/>
        </w:rPr>
      </w:pPr>
      <w:r>
        <w:rPr>
          <w:rFonts w:ascii="arial" w:hAnsi="arial"/>
          <w:b/>
          <w:color w:val="00548B"/>
          <w:sz w:val="20"/>
        </w:rPr>
        <w:t>B</w:t>
      </w:r>
      <w:r>
        <w:rPr>
          <w:rFonts w:ascii="arial" w:hAnsi="arial"/>
          <w:b/>
          <w:color w:val="00548B"/>
          <w:sz w:val="14"/>
        </w:rPr>
        <w:t>OARD</w:t>
      </w:r>
      <w:r>
        <w:rPr>
          <w:rFonts w:ascii="arial" w:hAnsi="arial"/>
          <w:b/>
          <w:color w:val="00548B"/>
          <w:sz w:val="20"/>
        </w:rPr>
        <w:t xml:space="preserve"> L</w:t>
      </w:r>
      <w:r>
        <w:rPr>
          <w:rFonts w:ascii="arial" w:hAnsi="arial"/>
          <w:b/>
          <w:color w:val="00548B"/>
          <w:sz w:val="14"/>
        </w:rPr>
        <w:t>EADERSHIP</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Huron formally separated the roles of chairman of the board and chief executive officer in 2010. Our Non-executive Chairman is John McCartney and our Chief Executive Officer is James H. Roth. As Non-executive Chairman, Mr. McCartney, in consultation with Mr. Roth, develops the agendas for board meetings, determines the appropriate scheduling for board meetings, assesses the quality, quantity and timeliness of information provided from management to the board, assists the Nominating and Corporate Governance Committee in monitoring and implementing our Corporate Governance Guidelines and otherwise takes steps to ensure that the board is acting in the long-term best interests of the Company. Mr. McCartney also chairs executive sessions of the board. </w:t>
      </w:r>
    </w:p>
    <w:p>
      <w:pPr>
        <w:pStyle w:val="TextBody"/>
        <w:spacing w:before="200" w:after="0"/>
        <w:jc w:val="both"/>
        <w:rPr>
          <w:rFonts w:ascii="arial" w:hAnsi="arial"/>
          <w:sz w:val="18"/>
        </w:rPr>
      </w:pPr>
      <w:r>
        <w:rPr>
          <w:rFonts w:ascii="arial" w:hAnsi="arial"/>
          <w:sz w:val="18"/>
        </w:rPr>
        <w:t xml:space="preserve">The board has determined that our current board leadership structure is appropriate for the Company, as it believes the separation of powers is beneficial for our organization.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0"/>
        </w:rPr>
      </w:pPr>
      <w:r>
        <w:rPr>
          <w:rFonts w:ascii="arial" w:hAnsi="arial"/>
          <w:b/>
          <w:color w:val="00548B"/>
          <w:sz w:val="20"/>
        </w:rPr>
        <w:t>R</w:t>
      </w:r>
      <w:r>
        <w:rPr>
          <w:rFonts w:ascii="arial" w:hAnsi="arial"/>
          <w:b/>
          <w:color w:val="00548B"/>
          <w:sz w:val="14"/>
        </w:rPr>
        <w:t>ISK</w:t>
      </w:r>
      <w:r>
        <w:rPr>
          <w:rFonts w:ascii="arial" w:hAnsi="arial"/>
          <w:b/>
          <w:color w:val="00548B"/>
          <w:sz w:val="20"/>
        </w:rPr>
        <w:t xml:space="preserve"> O</w:t>
      </w:r>
      <w:r>
        <w:rPr>
          <w:rFonts w:ascii="arial" w:hAnsi="arial"/>
          <w:b/>
          <w:color w:val="00548B"/>
          <w:sz w:val="14"/>
        </w:rPr>
        <w:t>VERSIGHT</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One of the boards responsibilities is to review the adequacy of the Companys systems for compliance with all applicable laws and regulations, for safeguarding the Companys assets and for managing the major risks it faces. The board executes its responsibility for risk management directly and through its committees in a variety of ways, including the following: </w:t>
      </w:r>
    </w:p>
    <w:p>
      <w:pPr>
        <w:pStyle w:val="TextBody"/>
        <w:spacing w:before="0" w:after="0"/>
        <w:jc w:val="left"/>
        <w:rPr/>
      </w:pPr>
      <w:r>
        <w:rPr/>
        <w:t> </w:t>
      </w:r>
    </w:p>
    <w:p>
      <w:pPr>
        <w:pStyle w:val="TextBody"/>
        <w:spacing w:before="0" w:after="0"/>
        <w:jc w:val="center"/>
        <w:rPr/>
      </w:pPr>
      <w:r>
        <w:rPr/>
        <w:drawing>
          <wp:inline distT="0" distB="0" distL="0" distR="0">
            <wp:extent cx="566420" cy="67881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embed="rId20"/>
                    <a:stretch>
                      <a:fillRect/>
                    </a:stretch>
                  </pic:blipFill>
                  <pic:spPr bwMode="auto">
                    <a:xfrm>
                      <a:off x="0" y="0"/>
                      <a:ext cx="566420" cy="678815"/>
                    </a:xfrm>
                    <a:prstGeom prst="rect">
                      <a:avLst/>
                    </a:prstGeom>
                  </pic:spPr>
                </pic:pic>
              </a:graphicData>
            </a:graphic>
          </wp:inline>
        </w:drawing>
      </w:r>
      <w:r>
        <w:rPr/>
        <w:t xml:space="preserv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0"/>
        </w:rPr>
      </w:pPr>
      <w:bookmarkStart w:id="13" w:name="toc170561_11"/>
      <w:bookmarkEnd w:id="13"/>
      <w:r>
        <w:rPr>
          <w:rFonts w:ascii="arial" w:hAnsi="arial"/>
          <w:b/>
          <w:color w:val="00548B"/>
          <w:sz w:val="20"/>
        </w:rPr>
        <w:t>B</w:t>
      </w:r>
      <w:r>
        <w:rPr>
          <w:rFonts w:ascii="arial" w:hAnsi="arial"/>
          <w:b/>
          <w:color w:val="00548B"/>
          <w:sz w:val="14"/>
        </w:rPr>
        <w:t>OARD</w:t>
      </w:r>
      <w:r>
        <w:rPr>
          <w:rFonts w:ascii="arial" w:hAnsi="arial"/>
          <w:b/>
          <w:color w:val="00548B"/>
          <w:sz w:val="20"/>
        </w:rPr>
        <w:t xml:space="preserve"> M</w:t>
      </w:r>
      <w:r>
        <w:rPr>
          <w:rFonts w:ascii="arial" w:hAnsi="arial"/>
          <w:b/>
          <w:color w:val="00548B"/>
          <w:sz w:val="14"/>
        </w:rPr>
        <w:t>EETINGS</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C</w:t>
      </w:r>
      <w:r>
        <w:rPr>
          <w:rFonts w:ascii="arial" w:hAnsi="arial"/>
          <w:b/>
          <w:color w:val="00548B"/>
          <w:sz w:val="14"/>
        </w:rPr>
        <w:t>OMMITTEES</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board of directors conducts its business through meetings of the full board, actions taken by written consent in lieu of meetings, and by the actions of its committees. During 2020, the board of directors held twelve meetings. </w:t>
      </w:r>
    </w:p>
    <w:p>
      <w:pPr>
        <w:pStyle w:val="TextBody"/>
        <w:spacing w:before="200" w:after="0"/>
        <w:jc w:val="both"/>
        <w:rPr>
          <w:rFonts w:ascii="arial" w:hAnsi="arial"/>
          <w:sz w:val="18"/>
        </w:rPr>
      </w:pPr>
      <w:r>
        <w:rPr>
          <w:rFonts w:ascii="arial" w:hAnsi="arial"/>
          <w:sz w:val="18"/>
        </w:rPr>
        <w:t xml:space="preserve">During 2020, each board member attended at least 75% of the aggregate number of board meetings and meetings of all the committees on which the director served. Although the Company does not have a formal policy regarding director attendance at our annual meetings, we encourage directors to attend. All of the directors attended the 2020 Annual Meeting of Stockholders. </w:t>
      </w:r>
    </w:p>
    <w:p>
      <w:pPr>
        <w:pStyle w:val="TextBody"/>
        <w:spacing w:before="200" w:after="0"/>
        <w:jc w:val="both"/>
        <w:rPr>
          <w:rFonts w:ascii="arial" w:hAnsi="arial"/>
          <w:sz w:val="18"/>
        </w:rPr>
      </w:pPr>
      <w:r>
        <w:rPr>
          <w:rFonts w:ascii="arial" w:hAnsi="arial"/>
          <w:sz w:val="18"/>
        </w:rPr>
        <w:t xml:space="preserve">The board of directors operates in part through its four committees: Audit, Compensation, Nominating and Corporate Governance and Technology and Information Security. All committee members are independent as defined in the applicable listing standards of NASDAQ. In addition, all Compensation Committee members are non-employee directors within the meaning of Rule 16b-3 under the Securities Exchange Act of 1934 (the 1934 Act) and outside directors within the meaning of Section 162(m) of the Internal Revenue Code of 1986, as amended (the Code). All Audit Committee members meet the criteria for independence set forth in SEC Rule 10A-3(b)(1). The board of directors established the Technology and Information Security Committee at its meeting held on July 28, 2020. A detailed discussion of each committees mission, composition and responsibilities is contained within the committee charters available in the Investor Relations section of the Companys web site at </w:t>
      </w:r>
      <w:r>
        <w:rPr>
          <w:rFonts w:ascii="arial" w:hAnsi="arial"/>
          <w:i/>
          <w:sz w:val="18"/>
        </w:rPr>
        <w:t>www.huronconsultinggroup.com</w:t>
      </w:r>
      <w:r>
        <w:rPr>
          <w:rFonts w:ascii="arial" w:hAnsi="arial"/>
          <w:sz w:val="18"/>
        </w:rPr>
        <w:t xml:space="preserve">. </w:t>
      </w:r>
    </w:p>
    <w:p>
      <w:pPr>
        <w:pStyle w:val="TextBody"/>
        <w:spacing w:before="200" w:after="0"/>
        <w:jc w:val="both"/>
        <w:rPr>
          <w:rFonts w:ascii="arial" w:hAnsi="arial"/>
          <w:b/>
          <w:color w:val="00548B"/>
          <w:sz w:val="20"/>
        </w:rPr>
      </w:pPr>
      <w:r>
        <w:rPr>
          <w:rFonts w:ascii="arial" w:hAnsi="arial"/>
          <w:b/>
          <w:color w:val="00548B"/>
          <w:sz w:val="20"/>
        </w:rPr>
        <w:t xml:space="preserve">Audit Committee </w:t>
      </w:r>
    </w:p>
    <w:p>
      <w:pPr>
        <w:pStyle w:val="TextBody"/>
        <w:spacing w:before="0" w:after="0"/>
        <w:jc w:val="both"/>
        <w:rPr>
          <w:rFonts w:ascii="arial" w:hAnsi="arial"/>
          <w:sz w:val="18"/>
        </w:rPr>
      </w:pPr>
      <w:r>
        <w:rPr>
          <w:rFonts w:ascii="arial" w:hAnsi="arial"/>
          <w:sz w:val="18"/>
        </w:rPr>
        <w:t xml:space="preserve">The Audit Committee responsibilities include overseeing our accounting and financial reporting processes, the audits of our financial statements, and the Companys internal controls over financial reporting. The Audit Committee is also responsible for the appointment, compensation, retention, oversight and evaluation of the work of any registered public accounting firm engaged for the purpose of preparing or issuing an audit report or performing audit, review or attest services for us. As such, the Audit Committee approves audit and permitted non-audit services and applicable fees. The Audit Committee met seven times in 2020. The members of the Audit Committee are Messrs. Lockhart (Chair), McCartney and Sawyer. The board of directors has determined that each Audit Committee member has sufficient knowledge in financial and auditing matters to serve on the Audit Committee. The board of directors has also determined that each of Messrs. Lockhart, McCartney and Sawyer is an audit committee financial expert, as defined by the applicable securities regulations, and that each member of the Audit Committee satisfies the applicable NASDAQ listing standards for audit committee membership. </w:t>
      </w:r>
    </w:p>
    <w:p>
      <w:pPr>
        <w:pStyle w:val="TextBody"/>
        <w:spacing w:before="200" w:after="0"/>
        <w:jc w:val="both"/>
        <w:rPr>
          <w:rFonts w:ascii="arial" w:hAnsi="arial"/>
          <w:sz w:val="18"/>
        </w:rPr>
      </w:pPr>
      <w:r>
        <w:rPr>
          <w:rFonts w:ascii="arial" w:hAnsi="arial"/>
          <w:sz w:val="18"/>
        </w:rPr>
        <w:t xml:space="preserve">The Report of the Audit Committee for the fiscal year ended December 31, 2020 appears below under the caption PROPOSAL 4RATIFICATION OF APPOINTMENT OF INDEPENDENT REGISTERED PUBLIC ACCOUNTING FIRMReport of the Audit Committee. </w:t>
      </w:r>
    </w:p>
    <w:p>
      <w:pPr>
        <w:pStyle w:val="TextBody"/>
        <w:spacing w:before="200" w:after="0"/>
        <w:jc w:val="both"/>
        <w:rPr>
          <w:rFonts w:ascii="arial" w:hAnsi="arial"/>
          <w:b/>
          <w:color w:val="00548B"/>
          <w:sz w:val="20"/>
        </w:rPr>
      </w:pPr>
      <w:r>
        <w:rPr>
          <w:rFonts w:ascii="arial" w:hAnsi="arial"/>
          <w:b/>
          <w:color w:val="00548B"/>
          <w:sz w:val="20"/>
        </w:rPr>
        <w:t xml:space="preserve">Compensation Committee </w:t>
      </w:r>
    </w:p>
    <w:p>
      <w:pPr>
        <w:pStyle w:val="TextBody"/>
        <w:spacing w:before="0" w:after="0"/>
        <w:jc w:val="both"/>
        <w:rPr>
          <w:rFonts w:ascii="arial" w:hAnsi="arial"/>
          <w:sz w:val="18"/>
        </w:rPr>
      </w:pPr>
      <w:r>
        <w:rPr>
          <w:rFonts w:ascii="arial" w:hAnsi="arial"/>
          <w:sz w:val="18"/>
        </w:rPr>
        <w:t xml:space="preserve">Pursuant to its charter, the Compensation Committee responsibilities include overseeing our compensation and benefit plans, including all compensation arrangements for executive officers and directors, each of which the Compensation Committee reviews annually and makes changes as it deems appropriate. The Compensation Committee met eight times in 2020. The members of the Compensation Committee are Ms. Zumwalt (Chair), Mr. Lockhart, Mr. Sawyer and Ms. Singh-Bushell. </w:t>
      </w:r>
    </w:p>
    <w:p>
      <w:pPr>
        <w:pStyle w:val="TextBody"/>
        <w:spacing w:before="200" w:after="0"/>
        <w:jc w:val="both"/>
        <w:rPr>
          <w:rFonts w:ascii="arial" w:hAnsi="arial"/>
          <w:sz w:val="18"/>
        </w:rPr>
      </w:pPr>
      <w:r>
        <w:rPr>
          <w:rFonts w:ascii="arial" w:hAnsi="arial"/>
          <w:sz w:val="18"/>
        </w:rPr>
        <w:t xml:space="preserve">Management assists the Compensation Committee in the performance of its duties as described in more detail below under EXECUTIVE COMPENSATIONCompensation Discussion and AnalysisRole of Management. In addition, during 2020, the CEO participated in all of the Compensation Committees meetings and in all of the executive sessions, except for those in which the Compensation Committee considered the CEOs performance, compensation and incentives. The Committee engaged the firm of Pay Governance LLC as its outside compensation advisor to assist the Committee in the execution of its charter. The support provided by the advisor is described in more detail below under EXECUTIVE COMPENSATIONCompensation Discussion and AnalysisRole of Compensation Advisor. The Report of the Compensation Committee on Executive Compensation appears below under the caption EXECUTIVE COMPENSATIONCompensation Committee Report.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0"/>
        </w:rPr>
      </w:pPr>
      <w:r>
        <w:rPr>
          <w:rFonts w:ascii="arial" w:hAnsi="arial"/>
          <w:b/>
          <w:color w:val="00548B"/>
          <w:sz w:val="20"/>
        </w:rPr>
        <w:t xml:space="preserve">Nominating and Corporate Governance Committee </w:t>
      </w:r>
    </w:p>
    <w:p>
      <w:pPr>
        <w:pStyle w:val="TextBody"/>
        <w:spacing w:before="0" w:after="0"/>
        <w:jc w:val="both"/>
        <w:rPr>
          <w:rFonts w:ascii="arial" w:hAnsi="arial"/>
          <w:sz w:val="18"/>
        </w:rPr>
      </w:pPr>
      <w:r>
        <w:rPr>
          <w:rFonts w:ascii="arial" w:hAnsi="arial"/>
          <w:sz w:val="18"/>
        </w:rPr>
        <w:t xml:space="preserve">The Nominating and Corporate Governance Committee responsibilities include identifying and recommending to the board of directors appropriate director nominee candidates and providing oversight with respect to corporate governance and corporate social responsibility matters. The Nominating and Corporate Governance Committee met four times in 2020. </w:t>
      </w:r>
    </w:p>
    <w:p>
      <w:pPr>
        <w:pStyle w:val="TextBody"/>
        <w:spacing w:before="200" w:after="0"/>
        <w:jc w:val="both"/>
        <w:rPr>
          <w:rFonts w:ascii="arial" w:hAnsi="arial"/>
          <w:sz w:val="18"/>
        </w:rPr>
      </w:pPr>
      <w:r>
        <w:rPr>
          <w:rFonts w:ascii="arial" w:hAnsi="arial"/>
          <w:sz w:val="18"/>
        </w:rPr>
        <w:t xml:space="preserve">The members of the Nominating and Corporate Governance Committee are Mr. McCartney (Chair), Ms. Zumwalt and Ms. Singh-Bushell. </w:t>
      </w:r>
    </w:p>
    <w:p>
      <w:pPr>
        <w:pStyle w:val="TextBody"/>
        <w:spacing w:before="200" w:after="0"/>
        <w:jc w:val="both"/>
        <w:rPr>
          <w:rFonts w:ascii="arial" w:hAnsi="arial"/>
          <w:sz w:val="18"/>
        </w:rPr>
      </w:pPr>
      <w:r>
        <w:rPr>
          <w:rFonts w:ascii="arial" w:hAnsi="arial"/>
          <w:sz w:val="18"/>
        </w:rPr>
        <w:t xml:space="preserve">Directors may be nominated by the board of directors or by stockholders in accordance with the bylaws of the Company. The Nominating and Corporate Governance Committee will review all candidates for nomination to the board of directors, including those proposed by stockholders as provided below. The Nominating and Corporate Governance Committee reviews the persons judgment, experience, independence, understanding of the Companys business or other related industries, and such other factors as the Nominating and Corporate Governance Committee determines are relevant in light of the needs of the board of directors and the Company. The Nominating and Corporate Governance Committee selects qualified candidates and reviews its recommendations with the board of directors, which will decide whether to invite the candidate to be a nominee for election to the board of directors. </w:t>
      </w:r>
    </w:p>
    <w:p>
      <w:pPr>
        <w:pStyle w:val="TextBody"/>
        <w:spacing w:before="200" w:after="0"/>
        <w:jc w:val="both"/>
        <w:rPr>
          <w:rFonts w:ascii="arial" w:hAnsi="arial"/>
          <w:sz w:val="18"/>
        </w:rPr>
      </w:pPr>
      <w:r>
        <w:rPr>
          <w:rFonts w:ascii="arial" w:hAnsi="arial"/>
          <w:sz w:val="18"/>
        </w:rPr>
        <w:t xml:space="preserve">If the Nominating and Corporate Governance Committee receives a nominee recommendation in accordance with the rules of the SEC from a stockholder or group of stockholders that has beneficially owned more than 5% of the Companys voting common stock for at least one year as of the date of the recommendation, the name of the candidate, the name(s) of the stockholder(s) who recommended the candidate, and whether the Nominating and Corporate Governance Committee chose to nominate the candidate will be disclosed in the proxy statement, if the consent of both the stockholder and the candidate has been received. </w:t>
      </w:r>
    </w:p>
    <w:p>
      <w:pPr>
        <w:pStyle w:val="TextBody"/>
        <w:spacing w:before="200" w:after="0"/>
        <w:jc w:val="both"/>
        <w:rPr>
          <w:rFonts w:ascii="arial" w:hAnsi="arial"/>
          <w:sz w:val="18"/>
        </w:rPr>
      </w:pPr>
      <w:r>
        <w:rPr>
          <w:rFonts w:ascii="arial" w:hAnsi="arial"/>
          <w:sz w:val="18"/>
        </w:rPr>
        <w:t xml:space="preserve">For a stockholder to submit a candidate for consideration by the Nominating and Corporate Governance Committee, a stockholder must notify the Companys Corporate Secretary. In addition, the Companys bylaws permit stockholders to nominate directors at a stockholders meeting. To make a director nomination at the annual meeting, a stockholder must notify the Companys Corporate Secretary within the time periods specified under SUBMISSION OF STOCKHOLDER PROPOSALS below. Notices should be sent to: Corporate Secretary, Huron Consulting Group Inc., 550 West Van Buren Street, 17th Floor, Chicago, Illinois 60607, or </w:t>
      </w:r>
      <w:r>
        <w:rPr>
          <w:rFonts w:ascii="arial" w:hAnsi="arial"/>
          <w:i/>
          <w:sz w:val="18"/>
        </w:rPr>
        <w:t>corporatesecretary@hcg.com</w:t>
      </w:r>
      <w:r>
        <w:rPr>
          <w:rFonts w:ascii="arial" w:hAnsi="arial"/>
          <w:sz w:val="18"/>
        </w:rPr>
        <w:t xml:space="preserve">. In either case, the notice must meet all of the requirements contained in the bylaws. </w:t>
      </w:r>
    </w:p>
    <w:p>
      <w:pPr>
        <w:pStyle w:val="TextBody"/>
        <w:spacing w:before="200" w:after="0"/>
        <w:jc w:val="both"/>
        <w:rPr>
          <w:rFonts w:ascii="arial" w:hAnsi="arial"/>
          <w:b/>
          <w:color w:val="00548B"/>
          <w:sz w:val="20"/>
        </w:rPr>
      </w:pPr>
      <w:r>
        <w:rPr>
          <w:rFonts w:ascii="arial" w:hAnsi="arial"/>
          <w:b/>
          <w:color w:val="00548B"/>
          <w:sz w:val="20"/>
        </w:rPr>
        <w:t xml:space="preserve">Technology and Information Security Committee </w:t>
      </w:r>
    </w:p>
    <w:p>
      <w:pPr>
        <w:pStyle w:val="TextBody"/>
        <w:spacing w:before="0" w:after="0"/>
        <w:jc w:val="both"/>
        <w:rPr>
          <w:rFonts w:ascii="arial" w:hAnsi="arial"/>
          <w:sz w:val="18"/>
        </w:rPr>
      </w:pPr>
      <w:r>
        <w:rPr>
          <w:rFonts w:ascii="arial" w:hAnsi="arial"/>
          <w:sz w:val="18"/>
        </w:rPr>
        <w:t xml:space="preserve">The Technology and Information Security Committee responsibilities include reviewing the Companys technology-related strategies and significant technology-related initiatives and operations, overseeing major technology-related risks, including information security, data protection and cybersecurity, and monitoring and evaluating existing and future trends in technology that may affect the Companys strategic plan. The Technology and Information Security Committee was established by the board on July 28, 2020 and met two times in 2020. </w:t>
      </w:r>
    </w:p>
    <w:p>
      <w:pPr>
        <w:pStyle w:val="TextBody"/>
        <w:spacing w:before="200" w:after="0"/>
        <w:jc w:val="both"/>
        <w:rPr>
          <w:rFonts w:ascii="arial" w:hAnsi="arial"/>
          <w:sz w:val="18"/>
        </w:rPr>
      </w:pPr>
      <w:r>
        <w:rPr>
          <w:rFonts w:ascii="arial" w:hAnsi="arial"/>
          <w:sz w:val="18"/>
        </w:rPr>
        <w:t xml:space="preserve">The members of the Technology and Information Security Committee are Ms. Singh-Bushell (Chair), Mr. Lockhart and Ms. Zumwalt. The committee members have significant knowledge and experience in technology and information security related strategies, operations, risk management and governance through their extensive professional experience and board service. The committee members also draw upon the skills and insight of the full board and regularly liaise with the Companys Chief Information Officer. </w:t>
      </w:r>
    </w:p>
    <w:p>
      <w:pPr>
        <w:pStyle w:val="TextBody"/>
        <w:spacing w:before="200" w:after="0"/>
        <w:jc w:val="both"/>
        <w:rPr>
          <w:rFonts w:ascii="arial" w:hAnsi="arial"/>
          <w:b/>
          <w:color w:val="00548B"/>
          <w:sz w:val="20"/>
        </w:rPr>
      </w:pPr>
      <w:bookmarkStart w:id="14" w:name="toc170561_12"/>
      <w:bookmarkEnd w:id="14"/>
      <w:r>
        <w:rPr>
          <w:rFonts w:ascii="arial" w:hAnsi="arial"/>
          <w:b/>
          <w:color w:val="00548B"/>
          <w:sz w:val="20"/>
        </w:rPr>
        <w:t>D</w:t>
      </w:r>
      <w:r>
        <w:rPr>
          <w:rFonts w:ascii="arial" w:hAnsi="arial"/>
          <w:b/>
          <w:color w:val="00548B"/>
          <w:sz w:val="14"/>
        </w:rPr>
        <w:t>IRECTOR</w:t>
      </w:r>
      <w:r>
        <w:rPr>
          <w:rFonts w:ascii="arial" w:hAnsi="arial"/>
          <w:b/>
          <w:color w:val="00548B"/>
          <w:sz w:val="20"/>
        </w:rPr>
        <w:t xml:space="preserve"> R</w:t>
      </w:r>
      <w:r>
        <w:rPr>
          <w:rFonts w:ascii="arial" w:hAnsi="arial"/>
          <w:b/>
          <w:color w:val="00548B"/>
          <w:sz w:val="14"/>
        </w:rPr>
        <w:t>ESIGNATION</w:t>
      </w:r>
      <w:r>
        <w:rPr>
          <w:rFonts w:ascii="arial" w:hAnsi="arial"/>
          <w:b/>
          <w:color w:val="00548B"/>
          <w:sz w:val="20"/>
        </w:rPr>
        <w:t xml:space="preserve"> P</w:t>
      </w:r>
      <w:r>
        <w:rPr>
          <w:rFonts w:ascii="arial" w:hAnsi="arial"/>
          <w:b/>
          <w:color w:val="00548B"/>
          <w:sz w:val="14"/>
        </w:rPr>
        <w:t>OLICY</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Companys Corporate Governance Guidelines provide that in an uncontested election, any nominee for director who receives a greater number of votes withheld from his or her election than for his or her election shall promptly tender his or her resignation to the board of directors following certification of the election results, subject to acceptance by the board of directors. For purposes of this policy, (i) an uncontested election is one in which the number of persons properly nominated for election as directors as of the date that is ten (10) days before the record date for determining stockholders entitled to notice of or to vote at such meeting is not greater than the number of directors to be elected, and (ii) broker non-votes will not be counted as either votes withheld from or for such persons election.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The Nominating and Corporate Governance Committee shall make a recommendation to the board of directors as to whether to accept or reject the tendered resignation, or whether other action should be taken. The board of directors shall determine whether to accept or reject the tendered resignation, or whether other action should be taken, in its sole discretion, and publicly disclose its decision regarding the tendered resignation within ninety (90) days from the date of the certification of the election results. The Nominating and Corporate Governance Committee in making its recommendation and the board of directors in making its decision may each consider any factors or other information that they consider appropriate and relevant. </w:t>
      </w:r>
    </w:p>
    <w:p>
      <w:pPr>
        <w:pStyle w:val="TextBody"/>
        <w:spacing w:before="200" w:after="0"/>
        <w:jc w:val="both"/>
        <w:rPr>
          <w:rFonts w:ascii="arial" w:hAnsi="arial"/>
          <w:sz w:val="18"/>
        </w:rPr>
      </w:pPr>
      <w:r>
        <w:rPr>
          <w:rFonts w:ascii="arial" w:hAnsi="arial"/>
          <w:sz w:val="18"/>
        </w:rPr>
        <w:t xml:space="preserve">If any directors resignation is not accepted by the board of directors, such director shall continue to serve until such directors successor is duly elected and qualified, or until such directors earlier death, resignation, retirement, disqualification or removal. If a directors resignation is accepted by the board of directors pursuant to this policy, then the board of directors, in its sole discretion, may fill any resulting vacancy pursuant to the provisions of Section 2 of Article III of the bylaws of the Company or may decrease the size of the board of directors pursuant to Section 1 of Article III of the bylaws of the Company. </w:t>
      </w:r>
    </w:p>
    <w:p>
      <w:pPr>
        <w:pStyle w:val="TextBody"/>
        <w:spacing w:before="200" w:after="0"/>
        <w:jc w:val="both"/>
        <w:rPr>
          <w:rFonts w:ascii="arial" w:hAnsi="arial"/>
          <w:b/>
          <w:color w:val="00548B"/>
          <w:sz w:val="20"/>
        </w:rPr>
      </w:pPr>
      <w:bookmarkStart w:id="15" w:name="toc170561_13"/>
      <w:bookmarkEnd w:id="15"/>
      <w:r>
        <w:rPr>
          <w:rFonts w:ascii="arial" w:hAnsi="arial"/>
          <w:b/>
          <w:color w:val="00548B"/>
          <w:sz w:val="20"/>
        </w:rPr>
        <w:t>D</w:t>
      </w:r>
      <w:r>
        <w:rPr>
          <w:rFonts w:ascii="arial" w:hAnsi="arial"/>
          <w:b/>
          <w:color w:val="00548B"/>
          <w:sz w:val="14"/>
        </w:rPr>
        <w:t>IVERSITY</w:t>
      </w:r>
      <w:r>
        <w:rPr>
          <w:rFonts w:ascii="arial" w:hAnsi="arial"/>
          <w:b/>
          <w:color w:val="00548B"/>
          <w:sz w:val="20"/>
        </w:rPr>
        <w:t xml:space="preserve"> </w:t>
      </w:r>
      <w:r>
        <w:rPr>
          <w:rFonts w:ascii="arial" w:hAnsi="arial"/>
          <w:b/>
          <w:color w:val="00548B"/>
          <w:sz w:val="14"/>
        </w:rPr>
        <w:t>OF</w:t>
      </w:r>
      <w:r>
        <w:rPr>
          <w:rFonts w:ascii="arial" w:hAnsi="arial"/>
          <w:b/>
          <w:color w:val="00548B"/>
          <w:sz w:val="20"/>
        </w:rPr>
        <w:t xml:space="preserve"> B</w:t>
      </w:r>
      <w:r>
        <w:rPr>
          <w:rFonts w:ascii="arial" w:hAnsi="arial"/>
          <w:b/>
          <w:color w:val="00548B"/>
          <w:sz w:val="14"/>
        </w:rPr>
        <w:t>OARD</w:t>
      </w:r>
      <w:r>
        <w:rPr>
          <w:rFonts w:ascii="arial" w:hAnsi="arial"/>
          <w:b/>
          <w:color w:val="00548B"/>
          <w:sz w:val="20"/>
        </w:rPr>
        <w:t xml:space="preserve"> S</w:t>
      </w:r>
      <w:r>
        <w:rPr>
          <w:rFonts w:ascii="arial" w:hAnsi="arial"/>
          <w:b/>
          <w:color w:val="00548B"/>
          <w:sz w:val="14"/>
        </w:rPr>
        <w:t>KILLS</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E</w:t>
      </w:r>
      <w:r>
        <w:rPr>
          <w:rFonts w:ascii="arial" w:hAnsi="arial"/>
          <w:b/>
          <w:color w:val="00548B"/>
          <w:sz w:val="14"/>
        </w:rPr>
        <w:t>XPERIENCE</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Nominating and Corporate Governance Committee, in discussing board composition, has focused on diversity of experience and perspectives in relation to guiding and overseeing the development of the business. Consistent with the Companys longstanding focus on diversity and inclusion, the committee believes it should reflect over time a diversity of gender, race, ethnicity and age. Although Huron does not have a formal policy on board member diversity and the committee follows no strict criteria when making decisions, the committee believes that considering diversity is aligned with the boards objective of enhancing composition to most effectively evaluate and support the Companys strategy going forward. In addition to the considerations mentioned above under the Nominating and Corporate Governance Committee section, the Nominating and Corporate Governance Committee seeks candidates with prior management experience, experience on public company boards and in relevant industries and the candidates ability to bring diversity to the board, which includes diverse viewpoints and perspectives. </w:t>
      </w:r>
    </w:p>
    <w:p>
      <w:pPr>
        <w:pStyle w:val="TextBody"/>
        <w:spacing w:before="200" w:after="0"/>
        <w:jc w:val="both"/>
        <w:rPr>
          <w:rFonts w:ascii="arial" w:hAnsi="arial"/>
          <w:b/>
          <w:color w:val="00548B"/>
          <w:sz w:val="20"/>
        </w:rPr>
      </w:pPr>
      <w:bookmarkStart w:id="16" w:name="toc170561_14"/>
      <w:bookmarkEnd w:id="16"/>
      <w:r>
        <w:rPr>
          <w:rFonts w:ascii="arial" w:hAnsi="arial"/>
          <w:b/>
          <w:color w:val="00548B"/>
          <w:sz w:val="20"/>
        </w:rPr>
        <w:t>C</w:t>
      </w:r>
      <w:r>
        <w:rPr>
          <w:rFonts w:ascii="arial" w:hAnsi="arial"/>
          <w:b/>
          <w:color w:val="00548B"/>
          <w:sz w:val="14"/>
        </w:rPr>
        <w:t>OMPENSATION</w:t>
      </w:r>
      <w:r>
        <w:rPr>
          <w:rFonts w:ascii="arial" w:hAnsi="arial"/>
          <w:b/>
          <w:color w:val="00548B"/>
          <w:sz w:val="20"/>
        </w:rPr>
        <w:t xml:space="preserve"> </w:t>
      </w:r>
      <w:r>
        <w:rPr>
          <w:rFonts w:ascii="arial" w:hAnsi="arial"/>
          <w:b/>
          <w:color w:val="00548B"/>
          <w:sz w:val="14"/>
        </w:rPr>
        <w:t>OF</w:t>
      </w:r>
      <w:r>
        <w:rPr>
          <w:rFonts w:ascii="arial" w:hAnsi="arial"/>
          <w:b/>
          <w:color w:val="00548B"/>
          <w:sz w:val="20"/>
        </w:rPr>
        <w:t xml:space="preserve"> D</w:t>
      </w:r>
      <w:r>
        <w:rPr>
          <w:rFonts w:ascii="arial" w:hAnsi="arial"/>
          <w:b/>
          <w:color w:val="00548B"/>
          <w:sz w:val="14"/>
        </w:rPr>
        <w:t>IRECTORS</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Huron non-employee director compensation program is designed to enhance our ability to attract and retain highly qualified directors and to align their interests with the long-term interests of our stockholders. The program consists of both a cash component, designed to compensate non-employee directors for their service on the board and its committees, and an equity component, designed to align the interests of non-employee directors and stockholders. Mr. Roth receives no compensation for his service on the board. </w:t>
      </w:r>
    </w:p>
    <w:p>
      <w:pPr>
        <w:pStyle w:val="TextBody"/>
        <w:spacing w:before="200" w:after="0"/>
        <w:jc w:val="both"/>
        <w:rPr>
          <w:rFonts w:ascii="arial" w:hAnsi="arial"/>
          <w:sz w:val="18"/>
        </w:rPr>
      </w:pPr>
      <w:r>
        <w:rPr>
          <w:rFonts w:ascii="arial" w:hAnsi="arial"/>
          <w:sz w:val="18"/>
        </w:rPr>
        <w:t xml:space="preserve">Effective as of July 1, 2016, the director compensation program is comprised of the following elements: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3"/>
        <w:gridCol w:w="207"/>
        <w:gridCol w:w="4895"/>
      </w:tblGrid>
      <w:tr>
        <w:trPr/>
        <w:tc>
          <w:tcPr>
            <w:tcW w:w="5103"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4895" w:type="dxa"/>
            <w:tcBorders/>
            <w:shd w:fill="auto" w:val="clear"/>
            <w:vAlign w:val="center"/>
          </w:tcPr>
          <w:p>
            <w:pPr>
              <w:pStyle w:val="TableContents"/>
              <w:spacing w:before="0" w:after="283"/>
              <w:rPr>
                <w:sz w:val="4"/>
                <w:szCs w:val="4"/>
              </w:rPr>
            </w:pPr>
            <w:r>
              <w:rPr>
                <w:sz w:val="4"/>
                <w:szCs w:val="4"/>
              </w:rPr>
            </w:r>
          </w:p>
        </w:tc>
      </w:tr>
      <w:tr>
        <w:trPr/>
        <w:tc>
          <w:tcPr>
            <w:tcW w:w="5103" w:type="dxa"/>
            <w:tcBorders>
              <w:top w:val="single" w:sz="2" w:space="0" w:color="00548B"/>
              <w:left w:val="single" w:sz="2" w:space="0" w:color="00548B"/>
            </w:tcBorders>
            <w:shd w:fill="00548B" w:val="clear"/>
            <w:tcMar>
              <w:top w:w="28" w:type="dxa"/>
              <w:left w:w="160" w:type="dxa"/>
            </w:tcMar>
            <w:vAlign w:val="bottom"/>
          </w:tcPr>
          <w:p>
            <w:pPr>
              <w:pStyle w:val="TableContents"/>
              <w:spacing w:before="0" w:after="283"/>
              <w:rPr>
                <w:b/>
                <w:color w:val="E5E5E5"/>
              </w:rPr>
            </w:pPr>
            <w:r>
              <w:rPr>
                <w:b/>
                <w:color w:val="E5E5E5"/>
              </w:rPr>
              <w:t>Compensation Element</w:t>
            </w:r>
          </w:p>
        </w:tc>
        <w:tc>
          <w:tcPr>
            <w:tcW w:w="207" w:type="dxa"/>
            <w:tcBorders>
              <w:top w:val="single" w:sz="2" w:space="0" w:color="00548B"/>
              <w:left w:val="single" w:sz="2" w:space="0" w:color="999999"/>
            </w:tcBorders>
            <w:shd w:fill="00548B" w:val="clear"/>
            <w:tcMar>
              <w:top w:w="28" w:type="dxa"/>
              <w:left w:w="28" w:type="dxa"/>
            </w:tcMar>
            <w:vAlign w:val="bottom"/>
          </w:tcPr>
          <w:p>
            <w:pPr>
              <w:pStyle w:val="TableContents"/>
              <w:spacing w:before="0" w:after="283"/>
              <w:rPr/>
            </w:pPr>
            <w:r>
              <w:rPr/>
              <w:t>  </w:t>
            </w:r>
          </w:p>
        </w:tc>
        <w:tc>
          <w:tcPr>
            <w:tcW w:w="4895" w:type="dxa"/>
            <w:tcBorders>
              <w:top w:val="single" w:sz="2" w:space="0" w:color="00548B"/>
              <w:right w:val="single" w:sz="2" w:space="0" w:color="00548B"/>
            </w:tcBorders>
            <w:shd w:fill="00548B" w:val="clear"/>
            <w:tcMar>
              <w:top w:w="28" w:type="dxa"/>
              <w:right w:w="40" w:type="dxa"/>
            </w:tcMar>
            <w:vAlign w:val="bottom"/>
          </w:tcPr>
          <w:p>
            <w:pPr>
              <w:pStyle w:val="TableContents"/>
              <w:spacing w:before="0" w:after="283"/>
              <w:jc w:val="center"/>
              <w:rPr>
                <w:b/>
                <w:color w:val="E5E5E5"/>
              </w:rPr>
            </w:pPr>
            <w:r>
              <w:rPr>
                <w:b/>
                <w:color w:val="E5E5E5"/>
              </w:rPr>
              <w:t>Compensation</w:t>
            </w:r>
          </w:p>
        </w:tc>
      </w:tr>
      <w:tr>
        <w:trPr/>
        <w:tc>
          <w:tcPr>
            <w:tcW w:w="5103" w:type="dxa"/>
            <w:tcBorders>
              <w:left w:val="single" w:sz="2" w:space="0" w:color="00548B"/>
              <w:bottom w:val="single" w:sz="2" w:space="0" w:color="999999"/>
            </w:tcBorders>
            <w:shd w:fill="auto" w:val="clear"/>
            <w:tcMar>
              <w:left w:w="160" w:type="dxa"/>
              <w:bottom w:w="28" w:type="dxa"/>
            </w:tcMar>
            <w:vAlign w:val="center"/>
          </w:tcPr>
          <w:p>
            <w:pPr>
              <w:pStyle w:val="TableContents"/>
              <w:spacing w:before="0" w:after="0"/>
              <w:jc w:val="both"/>
              <w:rPr>
                <w:rFonts w:ascii="arial" w:hAnsi="arial"/>
                <w:sz w:val="18"/>
              </w:rPr>
            </w:pPr>
            <w:r>
              <w:rPr>
                <w:rFonts w:ascii="arial" w:hAnsi="arial"/>
                <w:sz w:val="18"/>
              </w:rPr>
              <w:t>Annual cash retainer (1)</w:t>
            </w:r>
          </w:p>
        </w:tc>
        <w:tc>
          <w:tcPr>
            <w:tcW w:w="207"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95" w:type="dxa"/>
            <w:tcBorders>
              <w:bottom w:val="single" w:sz="2" w:space="0" w:color="999999"/>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Non-executive Chairman - $235,000</w:t>
            </w:r>
          </w:p>
          <w:p>
            <w:pPr>
              <w:pStyle w:val="TableContents"/>
              <w:spacing w:before="0" w:after="0"/>
              <w:jc w:val="both"/>
              <w:rPr>
                <w:rFonts w:ascii="arial" w:hAnsi="arial"/>
                <w:sz w:val="18"/>
              </w:rPr>
            </w:pPr>
            <w:r>
              <w:rPr>
                <w:rFonts w:ascii="arial" w:hAnsi="arial"/>
                <w:sz w:val="18"/>
              </w:rPr>
              <w:t>Vice Chairman - $85,000 (6)</w:t>
            </w:r>
          </w:p>
          <w:p>
            <w:pPr>
              <w:pStyle w:val="TableContents"/>
              <w:spacing w:before="0" w:after="20"/>
              <w:jc w:val="both"/>
              <w:rPr>
                <w:rFonts w:ascii="arial" w:hAnsi="arial"/>
                <w:sz w:val="18"/>
              </w:rPr>
            </w:pPr>
            <w:r>
              <w:rPr>
                <w:rFonts w:ascii="arial" w:hAnsi="arial"/>
                <w:sz w:val="18"/>
              </w:rPr>
              <w:t>Other non-employee directors - $60,000</w:t>
            </w:r>
          </w:p>
        </w:tc>
      </w:tr>
      <w:tr>
        <w:trPr/>
        <w:tc>
          <w:tcPr>
            <w:tcW w:w="5103" w:type="dxa"/>
            <w:tcBorders>
              <w:left w:val="single" w:sz="2" w:space="0" w:color="00548B"/>
              <w:bottom w:val="single" w:sz="2" w:space="0" w:color="999999"/>
            </w:tcBorders>
            <w:shd w:fill="auto" w:val="clear"/>
            <w:tcMar>
              <w:left w:w="160" w:type="dxa"/>
              <w:bottom w:w="28" w:type="dxa"/>
            </w:tcMar>
          </w:tcPr>
          <w:p>
            <w:pPr>
              <w:pStyle w:val="TableContents"/>
              <w:spacing w:before="0" w:after="0"/>
              <w:jc w:val="both"/>
              <w:rPr>
                <w:rFonts w:ascii="arial" w:hAnsi="arial"/>
                <w:sz w:val="18"/>
              </w:rPr>
            </w:pPr>
            <w:r>
              <w:rPr>
                <w:rFonts w:ascii="arial" w:hAnsi="arial"/>
                <w:sz w:val="18"/>
              </w:rPr>
              <w:t>Annual restricted stock grant</w:t>
            </w:r>
          </w:p>
        </w:tc>
        <w:tc>
          <w:tcPr>
            <w:tcW w:w="207"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95" w:type="dxa"/>
            <w:tcBorders>
              <w:bottom w:val="single" w:sz="2" w:space="0" w:color="999999"/>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$170,000 in the form of restricted stock (2)</w:t>
            </w:r>
          </w:p>
        </w:tc>
      </w:tr>
      <w:tr>
        <w:trPr/>
        <w:tc>
          <w:tcPr>
            <w:tcW w:w="5103" w:type="dxa"/>
            <w:tcBorders>
              <w:left w:val="single" w:sz="2" w:space="0" w:color="00548B"/>
              <w:bottom w:val="single" w:sz="2" w:space="0" w:color="999999"/>
            </w:tcBorders>
            <w:shd w:fill="auto" w:val="clear"/>
            <w:tcMar>
              <w:left w:w="160" w:type="dxa"/>
              <w:bottom w:w="28" w:type="dxa"/>
            </w:tcMar>
          </w:tcPr>
          <w:p>
            <w:pPr>
              <w:pStyle w:val="TableContents"/>
              <w:spacing w:before="0" w:after="0"/>
              <w:jc w:val="both"/>
              <w:rPr>
                <w:rFonts w:ascii="arial" w:hAnsi="arial"/>
                <w:sz w:val="18"/>
              </w:rPr>
            </w:pPr>
            <w:r>
              <w:rPr>
                <w:rFonts w:ascii="arial" w:hAnsi="arial"/>
                <w:sz w:val="18"/>
              </w:rPr>
              <w:t>Initial grant to a new non-employee director</w:t>
            </w:r>
          </w:p>
        </w:tc>
        <w:tc>
          <w:tcPr>
            <w:tcW w:w="207"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95" w:type="dxa"/>
            <w:tcBorders>
              <w:bottom w:val="single" w:sz="2" w:space="0" w:color="999999"/>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Restricted stock grant equal to $200,000 (3)</w:t>
            </w:r>
          </w:p>
        </w:tc>
      </w:tr>
      <w:tr>
        <w:trPr/>
        <w:tc>
          <w:tcPr>
            <w:tcW w:w="5103" w:type="dxa"/>
            <w:tcBorders>
              <w:left w:val="single" w:sz="2" w:space="0" w:color="00548B"/>
              <w:bottom w:val="single" w:sz="2" w:space="0" w:color="999999"/>
            </w:tcBorders>
            <w:shd w:fill="auto" w:val="clear"/>
            <w:tcMar>
              <w:left w:w="160" w:type="dxa"/>
              <w:bottom w:w="28" w:type="dxa"/>
            </w:tcMar>
            <w:vAlign w:val="center"/>
          </w:tcPr>
          <w:p>
            <w:pPr>
              <w:pStyle w:val="TableContents"/>
              <w:spacing w:before="0" w:after="0"/>
              <w:jc w:val="both"/>
              <w:rPr>
                <w:rFonts w:ascii="arial" w:hAnsi="arial"/>
                <w:sz w:val="18"/>
              </w:rPr>
            </w:pPr>
            <w:r>
              <w:rPr>
                <w:rFonts w:ascii="arial" w:hAnsi="arial"/>
                <w:sz w:val="18"/>
              </w:rPr>
              <w:t>Annual committee chairperson retainer</w:t>
            </w:r>
          </w:p>
        </w:tc>
        <w:tc>
          <w:tcPr>
            <w:tcW w:w="207"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95" w:type="dxa"/>
            <w:tcBorders>
              <w:bottom w:val="single" w:sz="2" w:space="0" w:color="999999"/>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Audit - $15,000</w:t>
            </w:r>
          </w:p>
          <w:p>
            <w:pPr>
              <w:pStyle w:val="TableContents"/>
              <w:spacing w:before="0" w:after="0"/>
              <w:jc w:val="both"/>
              <w:rPr>
                <w:rFonts w:ascii="arial" w:hAnsi="arial"/>
                <w:sz w:val="18"/>
              </w:rPr>
            </w:pPr>
            <w:r>
              <w:rPr>
                <w:rFonts w:ascii="arial" w:hAnsi="arial"/>
                <w:sz w:val="18"/>
              </w:rPr>
              <w:t>Compensation - $15,000</w:t>
            </w:r>
          </w:p>
          <w:p>
            <w:pPr>
              <w:pStyle w:val="TableContents"/>
              <w:spacing w:before="0" w:after="0"/>
              <w:jc w:val="both"/>
              <w:rPr>
                <w:rFonts w:ascii="arial" w:hAnsi="arial"/>
                <w:sz w:val="18"/>
              </w:rPr>
            </w:pPr>
            <w:r>
              <w:rPr>
                <w:rFonts w:ascii="arial" w:hAnsi="arial"/>
                <w:sz w:val="18"/>
              </w:rPr>
              <w:t>Nominating and Corporate Governance - $10,000 (4)</w:t>
            </w:r>
          </w:p>
          <w:p>
            <w:pPr>
              <w:pStyle w:val="TableContents"/>
              <w:spacing w:before="0" w:after="20"/>
              <w:jc w:val="both"/>
              <w:rPr>
                <w:rFonts w:ascii="arial" w:hAnsi="arial"/>
                <w:sz w:val="18"/>
              </w:rPr>
            </w:pPr>
            <w:r>
              <w:rPr>
                <w:rFonts w:ascii="arial" w:hAnsi="arial"/>
                <w:sz w:val="18"/>
              </w:rPr>
              <w:t>Technology and Information Security Committee - $10,000</w:t>
            </w:r>
          </w:p>
        </w:tc>
      </w:tr>
      <w:tr>
        <w:trPr/>
        <w:tc>
          <w:tcPr>
            <w:tcW w:w="5103" w:type="dxa"/>
            <w:tcBorders>
              <w:left w:val="single" w:sz="2" w:space="0" w:color="00548B"/>
              <w:bottom w:val="single" w:sz="2" w:space="0" w:color="999999"/>
            </w:tcBorders>
            <w:shd w:fill="auto" w:val="clear"/>
            <w:tcMar>
              <w:left w:w="160" w:type="dxa"/>
              <w:bottom w:w="28" w:type="dxa"/>
            </w:tcMar>
          </w:tcPr>
          <w:p>
            <w:pPr>
              <w:pStyle w:val="TableContents"/>
              <w:spacing w:before="0" w:after="0"/>
              <w:jc w:val="both"/>
              <w:rPr>
                <w:rFonts w:ascii="arial" w:hAnsi="arial"/>
                <w:sz w:val="18"/>
              </w:rPr>
            </w:pPr>
            <w:r>
              <w:rPr>
                <w:rFonts w:ascii="arial" w:hAnsi="arial"/>
                <w:sz w:val="18"/>
              </w:rPr>
              <w:t>Board and committee meeting fee</w:t>
            </w:r>
          </w:p>
        </w:tc>
        <w:tc>
          <w:tcPr>
            <w:tcW w:w="207"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95" w:type="dxa"/>
            <w:tcBorders>
              <w:bottom w:val="single" w:sz="2" w:space="0" w:color="999999"/>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$1,000 per meeting (4) (5)</w:t>
            </w:r>
          </w:p>
        </w:tc>
      </w:tr>
      <w:tr>
        <w:trPr/>
        <w:tc>
          <w:tcPr>
            <w:tcW w:w="5103" w:type="dxa"/>
            <w:tcBorders>
              <w:left w:val="single" w:sz="2" w:space="0" w:color="00548B"/>
              <w:bottom w:val="single" w:sz="2" w:space="0" w:color="00548B"/>
            </w:tcBorders>
            <w:shd w:fill="auto" w:val="clear"/>
            <w:tcMar>
              <w:left w:w="160" w:type="dxa"/>
              <w:bottom w:w="28" w:type="dxa"/>
            </w:tcMar>
            <w:vAlign w:val="center"/>
          </w:tcPr>
          <w:p>
            <w:pPr>
              <w:pStyle w:val="TableContents"/>
              <w:spacing w:before="0" w:after="283"/>
              <w:rPr/>
            </w:pPr>
            <w:r>
              <w:rPr/>
              <w:t>Stock ownership requirement</w:t>
            </w:r>
          </w:p>
        </w:tc>
        <w:tc>
          <w:tcPr>
            <w:tcW w:w="207" w:type="dxa"/>
            <w:tcBorders>
              <w:left w:val="single" w:sz="2" w:space="0" w:color="999999"/>
              <w:bottom w:val="single" w:sz="2" w:space="0" w:color="00548B"/>
            </w:tcBorders>
            <w:shd w:fill="auto" w:val="clear"/>
            <w:tcMar>
              <w:left w:w="28" w:type="dxa"/>
              <w:bottom w:w="28" w:type="dxa"/>
            </w:tcMar>
            <w:vAlign w:val="bottom"/>
          </w:tcPr>
          <w:p>
            <w:pPr>
              <w:pStyle w:val="TableContents"/>
              <w:spacing w:before="0" w:after="283"/>
              <w:rPr/>
            </w:pPr>
            <w:r>
              <w:rPr/>
              <w:t>  </w:t>
            </w:r>
          </w:p>
        </w:tc>
        <w:tc>
          <w:tcPr>
            <w:tcW w:w="4895" w:type="dxa"/>
            <w:tcBorders>
              <w:bottom w:val="single" w:sz="2" w:space="0" w:color="00548B"/>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Non-employee directors are expected to own Huron stock equal to five times the annual cash retainer of $60,000</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The non-executive members of the board of directors, in consideration of the continued impact of the COVID-19 pandemic on the Company and in alignment with cost-saving measures taken throughout the Company, waived their cash retainer fee for the first quarter of 2021 (which in the case of the non-executive Chairman is $58,750 and in the case of all other non-employee directors is $15,000), exclusive of meeting attendance fees, or committee chair fees.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Granted on the date of the Companys annual meeting and priced based upon the closing stock price on the date of grant which vests ratably over 12 quarters. If a new non-employee director joins the board after the Companys annual meeting, the award is prorated as follows: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color w:val="00548B"/>
              </w:rPr>
            </w:pPr>
            <w:r>
              <w:rPr>
                <w:color w:val="00548B"/>
              </w:rPr>
              <w:t></w:t>
            </w:r>
          </w:p>
        </w:tc>
        <w:tc>
          <w:tcPr>
            <w:tcW w:w="9188" w:type="dxa"/>
            <w:tcBorders/>
            <w:shd w:fill="auto" w:val="clear"/>
          </w:tcPr>
          <w:p>
            <w:pPr>
              <w:pStyle w:val="TableContents"/>
              <w:spacing w:before="0" w:after="0"/>
              <w:jc w:val="both"/>
              <w:rPr>
                <w:rFonts w:ascii="arial" w:hAnsi="arial"/>
                <w:sz w:val="18"/>
              </w:rPr>
            </w:pPr>
            <w:r>
              <w:rPr>
                <w:rFonts w:ascii="arial" w:hAnsi="arial"/>
                <w:sz w:val="18"/>
              </w:rPr>
              <w:t xml:space="preserve">If the new director joins within six months of the Companys annual meeting, the director will receive half of the annual grant. </w:t>
            </w:r>
          </w:p>
        </w:tc>
      </w:tr>
    </w:tbl>
    <w:tbl>
      <w:tblPr>
        <w:tblW w:w="5000" w:type="pct"/>
        <w:jc w:val="left"/>
        <w:tblInd w:w="0" w:type="dxa"/>
        <w:tblCellMar>
          <w:top w:w="0" w:type="dxa"/>
          <w:left w:w="0" w:type="dxa"/>
          <w:bottom w:w="0" w:type="dxa"/>
          <w:right w:w="0" w:type="dxa"/>
        </w:tblCellMar>
      </w:tblPr>
      <w:tblGrid>
        <w:gridCol w:w="508"/>
        <w:gridCol w:w="509"/>
        <w:gridCol w:w="9188"/>
      </w:tblGrid>
      <w:tr>
        <w:trPr/>
        <w:tc>
          <w:tcPr>
            <w:tcW w:w="508"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color w:val="00548B"/>
              </w:rPr>
            </w:pPr>
            <w:r>
              <w:rPr>
                <w:color w:val="00548B"/>
              </w:rPr>
              <w:t></w:t>
            </w:r>
          </w:p>
        </w:tc>
        <w:tc>
          <w:tcPr>
            <w:tcW w:w="9188" w:type="dxa"/>
            <w:tcBorders/>
            <w:shd w:fill="auto" w:val="clear"/>
          </w:tcPr>
          <w:p>
            <w:pPr>
              <w:pStyle w:val="TableContents"/>
              <w:spacing w:before="0" w:after="0"/>
              <w:jc w:val="both"/>
              <w:rPr>
                <w:rFonts w:ascii="arial" w:hAnsi="arial"/>
                <w:sz w:val="18"/>
              </w:rPr>
            </w:pPr>
            <w:r>
              <w:rPr>
                <w:rFonts w:ascii="arial" w:hAnsi="arial"/>
                <w:sz w:val="18"/>
              </w:rPr>
              <w:t xml:space="preserve">If the new director joins over six months after the Companys annual meeting, no grant will be made.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(3)</w:t>
            </w:r>
          </w:p>
        </w:tc>
        <w:tc>
          <w:tcPr>
            <w:tcW w:w="9695" w:type="dxa"/>
            <w:tcBorders/>
            <w:shd w:fill="auto" w:val="clear"/>
          </w:tcPr>
          <w:p>
            <w:pPr>
              <w:pStyle w:val="TableContents"/>
              <w:spacing w:before="0" w:after="0"/>
              <w:jc w:val="both"/>
              <w:rPr>
                <w:rFonts w:ascii="arial" w:hAnsi="arial"/>
                <w:sz w:val="18"/>
              </w:rPr>
            </w:pPr>
            <w:r>
              <w:rPr>
                <w:rFonts w:ascii="arial" w:hAnsi="arial"/>
                <w:sz w:val="18"/>
              </w:rPr>
              <w:t xml:space="preserve">Will vest ratably over 12 quarters.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(4)</w:t>
            </w:r>
          </w:p>
        </w:tc>
        <w:tc>
          <w:tcPr>
            <w:tcW w:w="9695" w:type="dxa"/>
            <w:tcBorders/>
            <w:shd w:fill="auto" w:val="clear"/>
          </w:tcPr>
          <w:p>
            <w:pPr>
              <w:pStyle w:val="TableContents"/>
              <w:spacing w:before="0" w:after="0"/>
              <w:jc w:val="both"/>
              <w:rPr>
                <w:rFonts w:ascii="arial" w:hAnsi="arial"/>
                <w:sz w:val="18"/>
              </w:rPr>
            </w:pPr>
            <w:r>
              <w:rPr>
                <w:rFonts w:ascii="arial" w:hAnsi="arial"/>
                <w:sz w:val="18"/>
              </w:rPr>
              <w:t xml:space="preserve">The Chairman of the board does not receive committee chair fees or board and committee meeting fees.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(5)</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All directors are reimbursed for out-of-pocket expenses for attending board and committee meetings.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(6)</w:t>
            </w:r>
          </w:p>
        </w:tc>
        <w:tc>
          <w:tcPr>
            <w:tcW w:w="9695" w:type="dxa"/>
            <w:tcBorders/>
            <w:shd w:fill="auto" w:val="clear"/>
          </w:tcPr>
          <w:p>
            <w:pPr>
              <w:pStyle w:val="TableContents"/>
              <w:spacing w:before="0" w:after="0"/>
              <w:jc w:val="both"/>
              <w:rPr>
                <w:rFonts w:ascii="arial" w:hAnsi="arial"/>
                <w:sz w:val="18"/>
              </w:rPr>
            </w:pPr>
            <w:r>
              <w:rPr>
                <w:rFonts w:ascii="arial" w:hAnsi="arial"/>
                <w:sz w:val="18"/>
              </w:rPr>
              <w:t xml:space="preserve">Currently, none of the board members are serving in the role of Vice Chairman. </w:t>
            </w:r>
          </w:p>
        </w:tc>
      </w:tr>
    </w:tbl>
    <w:p>
      <w:pPr>
        <w:pStyle w:val="TextBody"/>
        <w:spacing w:before="200" w:after="0"/>
        <w:jc w:val="both"/>
        <w:rPr>
          <w:rFonts w:ascii="arial" w:hAnsi="arial"/>
          <w:sz w:val="18"/>
        </w:rPr>
      </w:pPr>
      <w:r>
        <w:rPr>
          <w:rFonts w:ascii="arial" w:hAnsi="arial"/>
          <w:sz w:val="18"/>
        </w:rPr>
        <w:t xml:space="preserve">Directors are eligible to participate in our deferred compensation plan, which is described under the caption EXECUTIVE COMPENSATION2020 Nonqualified Deferred Compensation. One director participated from 2013 through 2018, and a second director elected to participate beginning in 2015. </w:t>
      </w:r>
    </w:p>
    <w:p>
      <w:pPr>
        <w:pStyle w:val="TextBody"/>
        <w:spacing w:before="200" w:after="0"/>
        <w:jc w:val="both"/>
        <w:rPr>
          <w:rFonts w:ascii="arial" w:hAnsi="arial"/>
          <w:b/>
          <w:color w:val="00548B"/>
          <w:sz w:val="20"/>
        </w:rPr>
      </w:pPr>
      <w:bookmarkStart w:id="17" w:name="toc170561_15"/>
      <w:bookmarkEnd w:id="17"/>
      <w:r>
        <w:rPr>
          <w:rFonts w:ascii="arial" w:hAnsi="arial"/>
          <w:b/>
          <w:color w:val="00548B"/>
          <w:sz w:val="20"/>
        </w:rPr>
        <w:t>D</w:t>
      </w:r>
      <w:r>
        <w:rPr>
          <w:rFonts w:ascii="arial" w:hAnsi="arial"/>
          <w:b/>
          <w:color w:val="00548B"/>
          <w:sz w:val="14"/>
        </w:rPr>
        <w:t>IRECTOR</w:t>
      </w:r>
      <w:r>
        <w:rPr>
          <w:rFonts w:ascii="arial" w:hAnsi="arial"/>
          <w:b/>
          <w:color w:val="00548B"/>
          <w:sz w:val="20"/>
        </w:rPr>
        <w:t xml:space="preserve"> C</w:t>
      </w:r>
      <w:r>
        <w:rPr>
          <w:rFonts w:ascii="arial" w:hAnsi="arial"/>
          <w:b/>
          <w:color w:val="00548B"/>
          <w:sz w:val="14"/>
        </w:rPr>
        <w:t>OMPENSATION</w:t>
      </w:r>
      <w:r>
        <w:rPr>
          <w:rFonts w:ascii="arial" w:hAnsi="arial"/>
          <w:b/>
          <w:color w:val="00548B"/>
          <w:sz w:val="20"/>
        </w:rPr>
        <w:t xml:space="preserve"> T</w:t>
      </w:r>
      <w:r>
        <w:rPr>
          <w:rFonts w:ascii="arial" w:hAnsi="arial"/>
          <w:b/>
          <w:color w:val="00548B"/>
          <w:sz w:val="14"/>
        </w:rPr>
        <w:t>ABLE</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following table summarizes the fees paid and the aggregate grant date fair value of shares granted to each of the non-employee directors in 2020. Directors who are also officers or employees of the Company receive no compensation for duties performed as a director.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4396"/>
        <w:gridCol w:w="273"/>
        <w:gridCol w:w="120"/>
        <w:gridCol w:w="1857"/>
        <w:gridCol w:w="230"/>
        <w:gridCol w:w="335"/>
        <w:gridCol w:w="68"/>
        <w:gridCol w:w="1048"/>
        <w:gridCol w:w="292"/>
        <w:gridCol w:w="335"/>
        <w:gridCol w:w="60"/>
        <w:gridCol w:w="894"/>
        <w:gridCol w:w="297"/>
      </w:tblGrid>
      <w:tr>
        <w:trPr/>
        <w:tc>
          <w:tcPr>
            <w:tcW w:w="4396" w:type="dxa"/>
            <w:tcBorders/>
            <w:shd w:fill="auto" w:val="clear"/>
            <w:vAlign w:val="center"/>
          </w:tcPr>
          <w:p>
            <w:pPr>
              <w:pStyle w:val="TableContents"/>
              <w:spacing w:before="0" w:after="283"/>
              <w:rPr>
                <w:sz w:val="4"/>
                <w:szCs w:val="4"/>
              </w:rPr>
            </w:pPr>
            <w:r>
              <w:rPr>
                <w:sz w:val="4"/>
                <w:szCs w:val="4"/>
              </w:rPr>
            </w:r>
          </w:p>
        </w:tc>
        <w:tc>
          <w:tcPr>
            <w:tcW w:w="273" w:type="dxa"/>
            <w:tcBorders/>
            <w:shd w:fill="auto" w:val="clear"/>
            <w:vAlign w:val="bottom"/>
          </w:tcPr>
          <w:p>
            <w:pPr>
              <w:pStyle w:val="TableContents"/>
              <w:spacing w:before="0" w:after="283"/>
              <w:rPr>
                <w:sz w:val="4"/>
                <w:szCs w:val="4"/>
              </w:rPr>
            </w:pPr>
            <w:r>
              <w:rPr>
                <w:sz w:val="4"/>
                <w:szCs w:val="4"/>
              </w:rPr>
            </w:r>
          </w:p>
        </w:tc>
        <w:tc>
          <w:tcPr>
            <w:tcW w:w="120" w:type="dxa"/>
            <w:tcBorders/>
            <w:shd w:fill="auto" w:val="clear"/>
            <w:vAlign w:val="center"/>
          </w:tcPr>
          <w:p>
            <w:pPr>
              <w:pStyle w:val="TableContents"/>
              <w:spacing w:before="0" w:after="283"/>
              <w:rPr>
                <w:sz w:val="4"/>
                <w:szCs w:val="4"/>
              </w:rPr>
            </w:pPr>
            <w:r>
              <w:rPr>
                <w:sz w:val="4"/>
                <w:szCs w:val="4"/>
              </w:rPr>
            </w:r>
          </w:p>
        </w:tc>
        <w:tc>
          <w:tcPr>
            <w:tcW w:w="1857" w:type="dxa"/>
            <w:tcBorders/>
            <w:shd w:fill="auto" w:val="clear"/>
            <w:vAlign w:val="center"/>
          </w:tcPr>
          <w:p>
            <w:pPr>
              <w:pStyle w:val="TableContents"/>
              <w:spacing w:before="0" w:after="283"/>
              <w:rPr>
                <w:sz w:val="4"/>
                <w:szCs w:val="4"/>
              </w:rPr>
            </w:pPr>
            <w:r>
              <w:rPr>
                <w:sz w:val="4"/>
                <w:szCs w:val="4"/>
              </w:rPr>
            </w:r>
          </w:p>
        </w:tc>
        <w:tc>
          <w:tcPr>
            <w:tcW w:w="230"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68" w:type="dxa"/>
            <w:tcBorders/>
            <w:shd w:fill="auto" w:val="clear"/>
            <w:vAlign w:val="center"/>
          </w:tcPr>
          <w:p>
            <w:pPr>
              <w:pStyle w:val="TableContents"/>
              <w:spacing w:before="0" w:after="283"/>
              <w:rPr>
                <w:sz w:val="4"/>
                <w:szCs w:val="4"/>
              </w:rPr>
            </w:pPr>
            <w:r>
              <w:rPr>
                <w:sz w:val="4"/>
                <w:szCs w:val="4"/>
              </w:rPr>
            </w:r>
          </w:p>
        </w:tc>
        <w:tc>
          <w:tcPr>
            <w:tcW w:w="1048" w:type="dxa"/>
            <w:tcBorders/>
            <w:shd w:fill="auto" w:val="clear"/>
            <w:vAlign w:val="center"/>
          </w:tcPr>
          <w:p>
            <w:pPr>
              <w:pStyle w:val="TableContents"/>
              <w:spacing w:before="0" w:after="283"/>
              <w:rPr>
                <w:sz w:val="4"/>
                <w:szCs w:val="4"/>
              </w:rPr>
            </w:pPr>
            <w:r>
              <w:rPr>
                <w:sz w:val="4"/>
                <w:szCs w:val="4"/>
              </w:rPr>
            </w:r>
          </w:p>
        </w:tc>
        <w:tc>
          <w:tcPr>
            <w:tcW w:w="292" w:type="dxa"/>
            <w:tcBorders/>
            <w:shd w:fill="auto" w:val="clear"/>
            <w:vAlign w:val="bottom"/>
          </w:tcPr>
          <w:p>
            <w:pPr>
              <w:pStyle w:val="TableContents"/>
              <w:spacing w:before="0" w:after="283"/>
              <w:rPr>
                <w:sz w:val="4"/>
                <w:szCs w:val="4"/>
              </w:rPr>
            </w:pPr>
            <w:r>
              <w:rPr>
                <w:sz w:val="4"/>
                <w:szCs w:val="4"/>
              </w:rPr>
            </w:r>
          </w:p>
        </w:tc>
        <w:tc>
          <w:tcPr>
            <w:tcW w:w="33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4" w:type="dxa"/>
            <w:tcBorders/>
            <w:shd w:fill="auto" w:val="clear"/>
            <w:vAlign w:val="center"/>
          </w:tcPr>
          <w:p>
            <w:pPr>
              <w:pStyle w:val="TableContents"/>
              <w:spacing w:before="0" w:after="283"/>
              <w:rPr>
                <w:sz w:val="4"/>
                <w:szCs w:val="4"/>
              </w:rPr>
            </w:pPr>
            <w:r>
              <w:rPr>
                <w:sz w:val="4"/>
                <w:szCs w:val="4"/>
              </w:rPr>
            </w:r>
          </w:p>
        </w:tc>
        <w:tc>
          <w:tcPr>
            <w:tcW w:w="297" w:type="dxa"/>
            <w:tcBorders/>
            <w:shd w:fill="auto" w:val="clear"/>
            <w:vAlign w:val="bottom"/>
          </w:tcPr>
          <w:p>
            <w:pPr>
              <w:pStyle w:val="TableContents"/>
              <w:spacing w:before="0" w:after="283"/>
              <w:rPr>
                <w:sz w:val="4"/>
                <w:szCs w:val="4"/>
              </w:rPr>
            </w:pPr>
            <w:r>
              <w:rPr>
                <w:sz w:val="4"/>
                <w:szCs w:val="4"/>
              </w:rPr>
            </w:r>
          </w:p>
        </w:tc>
      </w:tr>
      <w:tr>
        <w:trPr/>
        <w:tc>
          <w:tcPr>
            <w:tcW w:w="4396" w:type="dxa"/>
            <w:tcBorders>
              <w:bottom w:val="single" w:sz="8" w:space="0" w:color="00548B"/>
            </w:tcBorders>
            <w:shd w:fill="00548B" w:val="clear"/>
            <w:tcMar>
              <w:bottom w:w="28" w:type="dxa"/>
            </w:tcMar>
            <w:vAlign w:val="bottom"/>
          </w:tcPr>
          <w:p>
            <w:pPr>
              <w:pStyle w:val="TableContents"/>
              <w:spacing w:before="0" w:after="283"/>
              <w:rPr>
                <w:b/>
                <w:color w:val="D8D8D8"/>
              </w:rPr>
            </w:pPr>
            <w:r>
              <w:rPr>
                <w:b/>
                <w:color w:val="D8D8D8"/>
              </w:rPr>
              <w:t>Name</w:t>
            </w:r>
          </w:p>
        </w:tc>
        <w:tc>
          <w:tcPr>
            <w:tcW w:w="273" w:type="dxa"/>
            <w:tcBorders>
              <w:bottom w:val="single" w:sz="8" w:space="0" w:color="00548B"/>
            </w:tcBorders>
            <w:shd w:fill="00548B" w:val="clear"/>
            <w:tcMar>
              <w:bottom w:w="28" w:type="dxa"/>
            </w:tcMar>
            <w:vAlign w:val="bottom"/>
          </w:tcPr>
          <w:p>
            <w:pPr>
              <w:pStyle w:val="TableContents"/>
              <w:spacing w:before="0" w:after="283"/>
              <w:rPr/>
            </w:pPr>
            <w:r>
              <w:rPr/>
              <w:t>  </w:t>
            </w:r>
          </w:p>
        </w:tc>
        <w:tc>
          <w:tcPr>
            <w:tcW w:w="1977" w:type="dxa"/>
            <w:gridSpan w:val="2"/>
            <w:tcBorders>
              <w:bottom w:val="single" w:sz="8" w:space="0" w:color="00548B"/>
            </w:tcBorders>
            <w:shd w:fill="00548B" w:val="clear"/>
            <w:tcMar>
              <w:bottom w:w="28" w:type="dxa"/>
            </w:tcMar>
            <w:vAlign w:val="bottom"/>
          </w:tcPr>
          <w:p>
            <w:pPr>
              <w:pStyle w:val="TableContents"/>
              <w:spacing w:before="0" w:after="283"/>
              <w:jc w:val="center"/>
              <w:rPr>
                <w:b/>
                <w:color w:val="D8D8D8"/>
              </w:rPr>
            </w:pPr>
            <w:r>
              <w:rPr>
                <w:b/>
                <w:color w:val="D8D8D8"/>
              </w:rPr>
              <w:t>Fees Earned or</w:t>
              <w:br/>
              <w:t>Paid in Cash ($) (5)</w:t>
            </w:r>
          </w:p>
        </w:tc>
        <w:tc>
          <w:tcPr>
            <w:tcW w:w="230" w:type="dxa"/>
            <w:tcBorders>
              <w:bottom w:val="single" w:sz="8" w:space="0" w:color="00548B"/>
            </w:tcBorders>
            <w:shd w:fill="00548B" w:val="clear"/>
            <w:tcMar>
              <w:bottom w:w="28" w:type="dxa"/>
            </w:tcMar>
            <w:vAlign w:val="bottom"/>
          </w:tcPr>
          <w:p>
            <w:pPr>
              <w:pStyle w:val="TableContents"/>
              <w:spacing w:before="0" w:after="283"/>
              <w:rPr/>
            </w:pPr>
            <w:r>
              <w:rPr/>
              <w:t> </w:t>
            </w:r>
          </w:p>
        </w:tc>
        <w:tc>
          <w:tcPr>
            <w:tcW w:w="335" w:type="dxa"/>
            <w:tcBorders>
              <w:bottom w:val="single" w:sz="8" w:space="0" w:color="00548B"/>
            </w:tcBorders>
            <w:shd w:fill="00548B" w:val="clear"/>
            <w:tcMar>
              <w:bottom w:w="28" w:type="dxa"/>
            </w:tcMar>
            <w:vAlign w:val="bottom"/>
          </w:tcPr>
          <w:p>
            <w:pPr>
              <w:pStyle w:val="TableContents"/>
              <w:spacing w:before="0" w:after="283"/>
              <w:rPr/>
            </w:pPr>
            <w:r>
              <w:rPr/>
              <w:t>  </w:t>
            </w:r>
          </w:p>
        </w:tc>
        <w:tc>
          <w:tcPr>
            <w:tcW w:w="1116" w:type="dxa"/>
            <w:gridSpan w:val="2"/>
            <w:tcBorders>
              <w:bottom w:val="single" w:sz="8" w:space="0" w:color="00548B"/>
            </w:tcBorders>
            <w:shd w:fill="00548B" w:val="clear"/>
            <w:tcMar>
              <w:bottom w:w="28" w:type="dxa"/>
            </w:tcMar>
            <w:vAlign w:val="bottom"/>
          </w:tcPr>
          <w:p>
            <w:pPr>
              <w:pStyle w:val="TableContents"/>
              <w:spacing w:before="0" w:after="0"/>
              <w:jc w:val="center"/>
              <w:rPr>
                <w:rFonts w:ascii="arial" w:hAnsi="arial"/>
                <w:b/>
                <w:color w:val="D8D8D8"/>
                <w:sz w:val="16"/>
              </w:rPr>
            </w:pPr>
            <w:r>
              <w:rPr>
                <w:rFonts w:ascii="arial" w:hAnsi="arial"/>
                <w:b/>
                <w:color w:val="D8D8D8"/>
                <w:sz w:val="16"/>
              </w:rPr>
              <w:t>Stock</w:t>
            </w:r>
          </w:p>
          <w:p>
            <w:pPr>
              <w:pStyle w:val="TableContents"/>
              <w:spacing w:before="0" w:after="20"/>
              <w:jc w:val="center"/>
              <w:rPr>
                <w:rFonts w:ascii="arial" w:hAnsi="arial"/>
                <w:b/>
                <w:color w:val="D8D8D8"/>
                <w:sz w:val="16"/>
              </w:rPr>
            </w:pPr>
            <w:r>
              <w:rPr>
                <w:rFonts w:ascii="arial" w:hAnsi="arial"/>
                <w:b/>
                <w:color w:val="D8D8D8"/>
                <w:sz w:val="16"/>
              </w:rPr>
              <w:t>Awards ($)(1)</w:t>
            </w:r>
          </w:p>
        </w:tc>
        <w:tc>
          <w:tcPr>
            <w:tcW w:w="292" w:type="dxa"/>
            <w:tcBorders>
              <w:bottom w:val="single" w:sz="8" w:space="0" w:color="00548B"/>
            </w:tcBorders>
            <w:shd w:fill="00548B" w:val="clear"/>
            <w:tcMar>
              <w:bottom w:w="28" w:type="dxa"/>
            </w:tcMar>
            <w:vAlign w:val="bottom"/>
          </w:tcPr>
          <w:p>
            <w:pPr>
              <w:pStyle w:val="TableContents"/>
              <w:spacing w:before="0" w:after="283"/>
              <w:rPr/>
            </w:pPr>
            <w:r>
              <w:rPr/>
              <w:t> </w:t>
            </w:r>
          </w:p>
        </w:tc>
        <w:tc>
          <w:tcPr>
            <w:tcW w:w="335" w:type="dxa"/>
            <w:tcBorders>
              <w:bottom w:val="single" w:sz="8" w:space="0" w:color="00548B"/>
            </w:tcBorders>
            <w:shd w:fill="00548B" w:val="clear"/>
            <w:tcMar>
              <w:bottom w:w="28" w:type="dxa"/>
            </w:tcMar>
            <w:vAlign w:val="bottom"/>
          </w:tcPr>
          <w:p>
            <w:pPr>
              <w:pStyle w:val="TableContents"/>
              <w:spacing w:before="0" w:after="283"/>
              <w:rPr/>
            </w:pPr>
            <w:r>
              <w:rPr/>
              <w:t>  </w:t>
            </w:r>
          </w:p>
        </w:tc>
        <w:tc>
          <w:tcPr>
            <w:tcW w:w="954" w:type="dxa"/>
            <w:gridSpan w:val="2"/>
            <w:tcBorders>
              <w:bottom w:val="single" w:sz="8" w:space="0" w:color="00548B"/>
            </w:tcBorders>
            <w:shd w:fill="00548B" w:val="clear"/>
            <w:tcMar>
              <w:bottom w:w="28" w:type="dxa"/>
            </w:tcMar>
            <w:vAlign w:val="bottom"/>
          </w:tcPr>
          <w:p>
            <w:pPr>
              <w:pStyle w:val="TableContents"/>
              <w:spacing w:before="0" w:after="283"/>
              <w:jc w:val="center"/>
              <w:rPr>
                <w:b/>
                <w:color w:val="D8D8D8"/>
              </w:rPr>
            </w:pPr>
            <w:r>
              <w:rPr>
                <w:b/>
                <w:color w:val="D8D8D8"/>
              </w:rPr>
              <w:t>Total</w:t>
              <w:br/>
              <w:t>($)</w:t>
            </w:r>
          </w:p>
        </w:tc>
        <w:tc>
          <w:tcPr>
            <w:tcW w:w="297" w:type="dxa"/>
            <w:tcBorders>
              <w:bottom w:val="single" w:sz="8" w:space="0" w:color="00548B"/>
            </w:tcBorders>
            <w:shd w:fill="00548B" w:val="clear"/>
            <w:tcMar>
              <w:bottom w:w="28" w:type="dxa"/>
            </w:tcMar>
            <w:vAlign w:val="bottom"/>
          </w:tcPr>
          <w:p>
            <w:pPr>
              <w:pStyle w:val="TableContents"/>
              <w:spacing w:before="0" w:after="283"/>
              <w:rPr/>
            </w:pPr>
            <w:r>
              <w:rPr/>
              <w:t> </w:t>
            </w:r>
          </w:p>
        </w:tc>
      </w:tr>
      <w:tr>
        <w:trPr/>
        <w:tc>
          <w:tcPr>
            <w:tcW w:w="4396"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H. Eugene Lockhart (2)</w:t>
            </w:r>
          </w:p>
        </w:tc>
        <w:tc>
          <w:tcPr>
            <w:tcW w:w="273" w:type="dxa"/>
            <w:tcBorders>
              <w:bottom w:val="single" w:sz="2" w:space="0" w:color="999999"/>
            </w:tcBorders>
            <w:shd w:fill="auto" w:val="clear"/>
            <w:tcMar>
              <w:bottom w:w="28" w:type="dxa"/>
            </w:tcMar>
            <w:vAlign w:val="bottom"/>
          </w:tcPr>
          <w:p>
            <w:pPr>
              <w:pStyle w:val="TableContents"/>
              <w:spacing w:before="0" w:after="283"/>
              <w:rPr/>
            </w:pPr>
            <w:r>
              <w:rPr/>
              <w:t>  </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185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101,000</w:t>
            </w:r>
          </w:p>
        </w:tc>
        <w:tc>
          <w:tcPr>
            <w:tcW w:w="230" w:type="dxa"/>
            <w:tcBorders>
              <w:bottom w:val="single" w:sz="2" w:space="0" w:color="999999"/>
            </w:tcBorders>
            <w:shd w:fill="auto" w:val="clear"/>
            <w:tcMar>
              <w:bottom w:w="28" w:type="dxa"/>
            </w:tcMar>
            <w:vAlign w:val="bottom"/>
          </w:tcPr>
          <w:p>
            <w:pPr>
              <w:pStyle w:val="TableContents"/>
              <w:spacing w:before="0" w:after="283"/>
              <w:rPr/>
            </w:pPr>
            <w:r>
              <w:rPr/>
              <w:t> </w:t>
            </w:r>
          </w:p>
        </w:tc>
        <w:tc>
          <w:tcPr>
            <w:tcW w:w="335" w:type="dxa"/>
            <w:tcBorders>
              <w:bottom w:val="single" w:sz="2" w:space="0" w:color="999999"/>
            </w:tcBorders>
            <w:shd w:fill="auto" w:val="clear"/>
            <w:tcMar>
              <w:bottom w:w="28" w:type="dxa"/>
            </w:tcMar>
            <w:vAlign w:val="bottom"/>
          </w:tcPr>
          <w:p>
            <w:pPr>
              <w:pStyle w:val="TableContents"/>
              <w:spacing w:before="0" w:after="283"/>
              <w:rPr/>
            </w:pPr>
            <w:r>
              <w:rPr/>
              <w:t>  </w:t>
            </w:r>
          </w:p>
        </w:tc>
        <w:tc>
          <w:tcPr>
            <w:tcW w:w="68" w:type="dxa"/>
            <w:tcBorders>
              <w:bottom w:val="single" w:sz="2" w:space="0" w:color="999999"/>
            </w:tcBorders>
            <w:shd w:fill="auto" w:val="clear"/>
            <w:tcMar>
              <w:bottom w:w="28" w:type="dxa"/>
            </w:tcMar>
            <w:vAlign w:val="bottom"/>
          </w:tcPr>
          <w:p>
            <w:pPr>
              <w:pStyle w:val="TableContents"/>
              <w:spacing w:before="0" w:after="283"/>
              <w:rPr/>
            </w:pPr>
            <w:r>
              <w:rPr/>
              <w:t> </w:t>
            </w:r>
          </w:p>
        </w:tc>
        <w:tc>
          <w:tcPr>
            <w:tcW w:w="1048"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170,004</w:t>
            </w:r>
          </w:p>
        </w:tc>
        <w:tc>
          <w:tcPr>
            <w:tcW w:w="292" w:type="dxa"/>
            <w:tcBorders>
              <w:bottom w:val="single" w:sz="2" w:space="0" w:color="999999"/>
            </w:tcBorders>
            <w:shd w:fill="auto" w:val="clear"/>
            <w:tcMar>
              <w:bottom w:w="28" w:type="dxa"/>
            </w:tcMar>
            <w:vAlign w:val="bottom"/>
          </w:tcPr>
          <w:p>
            <w:pPr>
              <w:pStyle w:val="TableContents"/>
              <w:spacing w:before="0" w:after="283"/>
              <w:rPr/>
            </w:pPr>
            <w:r>
              <w:rPr/>
              <w:t> </w:t>
            </w:r>
          </w:p>
        </w:tc>
        <w:tc>
          <w:tcPr>
            <w:tcW w:w="335"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271,004</w:t>
            </w:r>
          </w:p>
        </w:tc>
        <w:tc>
          <w:tcPr>
            <w:tcW w:w="29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4396"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George E. Massaro (4)</w:t>
            </w:r>
          </w:p>
        </w:tc>
        <w:tc>
          <w:tcPr>
            <w:tcW w:w="273" w:type="dxa"/>
            <w:tcBorders>
              <w:bottom w:val="single" w:sz="2" w:space="0" w:color="999999"/>
            </w:tcBorders>
            <w:shd w:fill="auto" w:val="clear"/>
            <w:tcMar>
              <w:bottom w:w="28" w:type="dxa"/>
            </w:tcMar>
            <w:vAlign w:val="bottom"/>
          </w:tcPr>
          <w:p>
            <w:pPr>
              <w:pStyle w:val="TableContents"/>
              <w:spacing w:before="0" w:after="283"/>
              <w:rPr/>
            </w:pPr>
            <w:r>
              <w:rPr/>
              <w:t>  </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185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58,500</w:t>
            </w:r>
          </w:p>
        </w:tc>
        <w:tc>
          <w:tcPr>
            <w:tcW w:w="230" w:type="dxa"/>
            <w:tcBorders>
              <w:bottom w:val="single" w:sz="2" w:space="0" w:color="999999"/>
            </w:tcBorders>
            <w:shd w:fill="auto" w:val="clear"/>
            <w:tcMar>
              <w:bottom w:w="28" w:type="dxa"/>
            </w:tcMar>
            <w:vAlign w:val="bottom"/>
          </w:tcPr>
          <w:p>
            <w:pPr>
              <w:pStyle w:val="TableContents"/>
              <w:spacing w:before="0" w:after="283"/>
              <w:rPr/>
            </w:pPr>
            <w:r>
              <w:rPr/>
              <w:t> </w:t>
            </w:r>
          </w:p>
        </w:tc>
        <w:tc>
          <w:tcPr>
            <w:tcW w:w="335" w:type="dxa"/>
            <w:tcBorders>
              <w:bottom w:val="single" w:sz="2" w:space="0" w:color="999999"/>
            </w:tcBorders>
            <w:shd w:fill="auto" w:val="clear"/>
            <w:tcMar>
              <w:bottom w:w="28" w:type="dxa"/>
            </w:tcMar>
            <w:vAlign w:val="bottom"/>
          </w:tcPr>
          <w:p>
            <w:pPr>
              <w:pStyle w:val="TableContents"/>
              <w:spacing w:before="0" w:after="283"/>
              <w:rPr/>
            </w:pPr>
            <w:r>
              <w:rPr/>
              <w:t>  </w:t>
            </w:r>
          </w:p>
        </w:tc>
        <w:tc>
          <w:tcPr>
            <w:tcW w:w="68" w:type="dxa"/>
            <w:tcBorders>
              <w:bottom w:val="single" w:sz="2" w:space="0" w:color="999999"/>
            </w:tcBorders>
            <w:shd w:fill="auto" w:val="clear"/>
            <w:tcMar>
              <w:bottom w:w="28" w:type="dxa"/>
            </w:tcMar>
            <w:vAlign w:val="bottom"/>
          </w:tcPr>
          <w:p>
            <w:pPr>
              <w:pStyle w:val="TableContents"/>
              <w:spacing w:before="0" w:after="283"/>
              <w:rPr/>
            </w:pPr>
            <w:r>
              <w:rPr/>
              <w:t> </w:t>
            </w:r>
          </w:p>
        </w:tc>
        <w:tc>
          <w:tcPr>
            <w:tcW w:w="1048"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292" w:type="dxa"/>
            <w:tcBorders>
              <w:bottom w:val="single" w:sz="2" w:space="0" w:color="999999"/>
            </w:tcBorders>
            <w:shd w:fill="auto" w:val="clear"/>
            <w:tcMar>
              <w:bottom w:w="28" w:type="dxa"/>
            </w:tcMar>
            <w:vAlign w:val="bottom"/>
          </w:tcPr>
          <w:p>
            <w:pPr>
              <w:pStyle w:val="TableContents"/>
              <w:spacing w:before="0" w:after="283"/>
              <w:rPr/>
            </w:pPr>
            <w:r>
              <w:rPr/>
              <w:t> </w:t>
            </w:r>
          </w:p>
        </w:tc>
        <w:tc>
          <w:tcPr>
            <w:tcW w:w="335"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58,500</w:t>
            </w:r>
          </w:p>
        </w:tc>
        <w:tc>
          <w:tcPr>
            <w:tcW w:w="29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4396"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John McCartney (2)(3)</w:t>
            </w:r>
          </w:p>
        </w:tc>
        <w:tc>
          <w:tcPr>
            <w:tcW w:w="273" w:type="dxa"/>
            <w:tcBorders>
              <w:bottom w:val="single" w:sz="2" w:space="0" w:color="999999"/>
            </w:tcBorders>
            <w:shd w:fill="auto" w:val="clear"/>
            <w:tcMar>
              <w:bottom w:w="28" w:type="dxa"/>
            </w:tcMar>
            <w:vAlign w:val="bottom"/>
          </w:tcPr>
          <w:p>
            <w:pPr>
              <w:pStyle w:val="TableContents"/>
              <w:spacing w:before="0" w:after="283"/>
              <w:rPr/>
            </w:pPr>
            <w:r>
              <w:rPr/>
              <w:t>  </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185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235,000</w:t>
            </w:r>
          </w:p>
        </w:tc>
        <w:tc>
          <w:tcPr>
            <w:tcW w:w="230" w:type="dxa"/>
            <w:tcBorders>
              <w:bottom w:val="single" w:sz="2" w:space="0" w:color="999999"/>
            </w:tcBorders>
            <w:shd w:fill="auto" w:val="clear"/>
            <w:tcMar>
              <w:bottom w:w="28" w:type="dxa"/>
            </w:tcMar>
            <w:vAlign w:val="bottom"/>
          </w:tcPr>
          <w:p>
            <w:pPr>
              <w:pStyle w:val="TableContents"/>
              <w:spacing w:before="0" w:after="283"/>
              <w:rPr/>
            </w:pPr>
            <w:r>
              <w:rPr/>
              <w:t> </w:t>
            </w:r>
          </w:p>
        </w:tc>
        <w:tc>
          <w:tcPr>
            <w:tcW w:w="335" w:type="dxa"/>
            <w:tcBorders>
              <w:bottom w:val="single" w:sz="2" w:space="0" w:color="999999"/>
            </w:tcBorders>
            <w:shd w:fill="auto" w:val="clear"/>
            <w:tcMar>
              <w:bottom w:w="28" w:type="dxa"/>
            </w:tcMar>
            <w:vAlign w:val="bottom"/>
          </w:tcPr>
          <w:p>
            <w:pPr>
              <w:pStyle w:val="TableContents"/>
              <w:spacing w:before="0" w:after="283"/>
              <w:rPr/>
            </w:pPr>
            <w:r>
              <w:rPr/>
              <w:t>  </w:t>
            </w:r>
          </w:p>
        </w:tc>
        <w:tc>
          <w:tcPr>
            <w:tcW w:w="68" w:type="dxa"/>
            <w:tcBorders>
              <w:bottom w:val="single" w:sz="2" w:space="0" w:color="999999"/>
            </w:tcBorders>
            <w:shd w:fill="auto" w:val="clear"/>
            <w:tcMar>
              <w:bottom w:w="28" w:type="dxa"/>
            </w:tcMar>
            <w:vAlign w:val="bottom"/>
          </w:tcPr>
          <w:p>
            <w:pPr>
              <w:pStyle w:val="TableContents"/>
              <w:spacing w:before="0" w:after="283"/>
              <w:rPr/>
            </w:pPr>
            <w:r>
              <w:rPr/>
              <w:t> </w:t>
            </w:r>
          </w:p>
        </w:tc>
        <w:tc>
          <w:tcPr>
            <w:tcW w:w="1048"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170,004</w:t>
            </w:r>
          </w:p>
        </w:tc>
        <w:tc>
          <w:tcPr>
            <w:tcW w:w="292" w:type="dxa"/>
            <w:tcBorders>
              <w:bottom w:val="single" w:sz="2" w:space="0" w:color="999999"/>
            </w:tcBorders>
            <w:shd w:fill="auto" w:val="clear"/>
            <w:tcMar>
              <w:bottom w:w="28" w:type="dxa"/>
            </w:tcMar>
            <w:vAlign w:val="bottom"/>
          </w:tcPr>
          <w:p>
            <w:pPr>
              <w:pStyle w:val="TableContents"/>
              <w:spacing w:before="0" w:after="283"/>
              <w:rPr/>
            </w:pPr>
            <w:r>
              <w:rPr/>
              <w:t> </w:t>
            </w:r>
          </w:p>
        </w:tc>
        <w:tc>
          <w:tcPr>
            <w:tcW w:w="335"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405,004</w:t>
            </w:r>
          </w:p>
        </w:tc>
        <w:tc>
          <w:tcPr>
            <w:tcW w:w="29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4396"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Hugh E. Sawyer (2)</w:t>
            </w:r>
          </w:p>
        </w:tc>
        <w:tc>
          <w:tcPr>
            <w:tcW w:w="273" w:type="dxa"/>
            <w:tcBorders>
              <w:bottom w:val="single" w:sz="2" w:space="0" w:color="999999"/>
            </w:tcBorders>
            <w:shd w:fill="auto" w:val="clear"/>
            <w:tcMar>
              <w:bottom w:w="28" w:type="dxa"/>
            </w:tcMar>
            <w:vAlign w:val="bottom"/>
          </w:tcPr>
          <w:p>
            <w:pPr>
              <w:pStyle w:val="TableContents"/>
              <w:spacing w:before="0" w:after="283"/>
              <w:rPr/>
            </w:pPr>
            <w:r>
              <w:rPr/>
              <w:t>  </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185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71,000</w:t>
            </w:r>
          </w:p>
        </w:tc>
        <w:tc>
          <w:tcPr>
            <w:tcW w:w="230" w:type="dxa"/>
            <w:tcBorders>
              <w:bottom w:val="single" w:sz="2" w:space="0" w:color="999999"/>
            </w:tcBorders>
            <w:shd w:fill="auto" w:val="clear"/>
            <w:tcMar>
              <w:bottom w:w="28" w:type="dxa"/>
            </w:tcMar>
            <w:vAlign w:val="bottom"/>
          </w:tcPr>
          <w:p>
            <w:pPr>
              <w:pStyle w:val="TableContents"/>
              <w:spacing w:before="0" w:after="283"/>
              <w:rPr/>
            </w:pPr>
            <w:r>
              <w:rPr/>
              <w:t> </w:t>
            </w:r>
          </w:p>
        </w:tc>
        <w:tc>
          <w:tcPr>
            <w:tcW w:w="335" w:type="dxa"/>
            <w:tcBorders>
              <w:bottom w:val="single" w:sz="2" w:space="0" w:color="999999"/>
            </w:tcBorders>
            <w:shd w:fill="auto" w:val="clear"/>
            <w:tcMar>
              <w:bottom w:w="28" w:type="dxa"/>
            </w:tcMar>
            <w:vAlign w:val="bottom"/>
          </w:tcPr>
          <w:p>
            <w:pPr>
              <w:pStyle w:val="TableContents"/>
              <w:spacing w:before="0" w:after="283"/>
              <w:rPr/>
            </w:pPr>
            <w:r>
              <w:rPr/>
              <w:t>  </w:t>
            </w:r>
          </w:p>
        </w:tc>
        <w:tc>
          <w:tcPr>
            <w:tcW w:w="68" w:type="dxa"/>
            <w:tcBorders>
              <w:bottom w:val="single" w:sz="2" w:space="0" w:color="999999"/>
            </w:tcBorders>
            <w:shd w:fill="auto" w:val="clear"/>
            <w:tcMar>
              <w:bottom w:w="28" w:type="dxa"/>
            </w:tcMar>
            <w:vAlign w:val="bottom"/>
          </w:tcPr>
          <w:p>
            <w:pPr>
              <w:pStyle w:val="TableContents"/>
              <w:spacing w:before="0" w:after="283"/>
              <w:rPr/>
            </w:pPr>
            <w:r>
              <w:rPr/>
              <w:t> </w:t>
            </w:r>
          </w:p>
        </w:tc>
        <w:tc>
          <w:tcPr>
            <w:tcW w:w="1048"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170,004</w:t>
            </w:r>
          </w:p>
        </w:tc>
        <w:tc>
          <w:tcPr>
            <w:tcW w:w="292" w:type="dxa"/>
            <w:tcBorders>
              <w:bottom w:val="single" w:sz="2" w:space="0" w:color="999999"/>
            </w:tcBorders>
            <w:shd w:fill="auto" w:val="clear"/>
            <w:tcMar>
              <w:bottom w:w="28" w:type="dxa"/>
            </w:tcMar>
            <w:vAlign w:val="bottom"/>
          </w:tcPr>
          <w:p>
            <w:pPr>
              <w:pStyle w:val="TableContents"/>
              <w:spacing w:before="0" w:after="283"/>
              <w:rPr/>
            </w:pPr>
            <w:r>
              <w:rPr/>
              <w:t> </w:t>
            </w:r>
          </w:p>
        </w:tc>
        <w:tc>
          <w:tcPr>
            <w:tcW w:w="335"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241,004</w:t>
            </w:r>
          </w:p>
        </w:tc>
        <w:tc>
          <w:tcPr>
            <w:tcW w:w="29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4396"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Ekta Singh-Bushell (2)</w:t>
            </w:r>
          </w:p>
        </w:tc>
        <w:tc>
          <w:tcPr>
            <w:tcW w:w="273" w:type="dxa"/>
            <w:tcBorders>
              <w:bottom w:val="single" w:sz="2" w:space="0" w:color="999999"/>
            </w:tcBorders>
            <w:shd w:fill="auto" w:val="clear"/>
            <w:tcMar>
              <w:bottom w:w="28" w:type="dxa"/>
            </w:tcMar>
            <w:vAlign w:val="bottom"/>
          </w:tcPr>
          <w:p>
            <w:pPr>
              <w:pStyle w:val="TableContents"/>
              <w:spacing w:before="0" w:after="283"/>
              <w:rPr/>
            </w:pPr>
            <w:r>
              <w:rPr/>
              <w:t>  </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185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85,500</w:t>
            </w:r>
          </w:p>
        </w:tc>
        <w:tc>
          <w:tcPr>
            <w:tcW w:w="230" w:type="dxa"/>
            <w:tcBorders>
              <w:bottom w:val="single" w:sz="2" w:space="0" w:color="999999"/>
            </w:tcBorders>
            <w:shd w:fill="auto" w:val="clear"/>
            <w:tcMar>
              <w:bottom w:w="28" w:type="dxa"/>
            </w:tcMar>
            <w:vAlign w:val="bottom"/>
          </w:tcPr>
          <w:p>
            <w:pPr>
              <w:pStyle w:val="TableContents"/>
              <w:spacing w:before="0" w:after="283"/>
              <w:rPr/>
            </w:pPr>
            <w:r>
              <w:rPr/>
              <w:t> </w:t>
            </w:r>
          </w:p>
        </w:tc>
        <w:tc>
          <w:tcPr>
            <w:tcW w:w="335" w:type="dxa"/>
            <w:tcBorders>
              <w:bottom w:val="single" w:sz="2" w:space="0" w:color="999999"/>
            </w:tcBorders>
            <w:shd w:fill="auto" w:val="clear"/>
            <w:tcMar>
              <w:bottom w:w="28" w:type="dxa"/>
            </w:tcMar>
            <w:vAlign w:val="bottom"/>
          </w:tcPr>
          <w:p>
            <w:pPr>
              <w:pStyle w:val="TableContents"/>
              <w:spacing w:before="0" w:after="283"/>
              <w:rPr/>
            </w:pPr>
            <w:r>
              <w:rPr/>
              <w:t>  </w:t>
            </w:r>
          </w:p>
        </w:tc>
        <w:tc>
          <w:tcPr>
            <w:tcW w:w="68" w:type="dxa"/>
            <w:tcBorders>
              <w:bottom w:val="single" w:sz="2" w:space="0" w:color="999999"/>
            </w:tcBorders>
            <w:shd w:fill="auto" w:val="clear"/>
            <w:tcMar>
              <w:bottom w:w="28" w:type="dxa"/>
            </w:tcMar>
            <w:vAlign w:val="bottom"/>
          </w:tcPr>
          <w:p>
            <w:pPr>
              <w:pStyle w:val="TableContents"/>
              <w:spacing w:before="0" w:after="283"/>
              <w:rPr/>
            </w:pPr>
            <w:r>
              <w:rPr/>
              <w:t> </w:t>
            </w:r>
          </w:p>
        </w:tc>
        <w:tc>
          <w:tcPr>
            <w:tcW w:w="1048"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170,004</w:t>
            </w:r>
          </w:p>
        </w:tc>
        <w:tc>
          <w:tcPr>
            <w:tcW w:w="292" w:type="dxa"/>
            <w:tcBorders>
              <w:bottom w:val="single" w:sz="2" w:space="0" w:color="999999"/>
            </w:tcBorders>
            <w:shd w:fill="auto" w:val="clear"/>
            <w:tcMar>
              <w:bottom w:w="28" w:type="dxa"/>
            </w:tcMar>
            <w:vAlign w:val="bottom"/>
          </w:tcPr>
          <w:p>
            <w:pPr>
              <w:pStyle w:val="TableContents"/>
              <w:spacing w:before="0" w:after="283"/>
              <w:rPr/>
            </w:pPr>
            <w:r>
              <w:rPr/>
              <w:t> </w:t>
            </w:r>
          </w:p>
        </w:tc>
        <w:tc>
          <w:tcPr>
            <w:tcW w:w="335"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255,504</w:t>
            </w:r>
          </w:p>
        </w:tc>
        <w:tc>
          <w:tcPr>
            <w:tcW w:w="29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4396" w:type="dxa"/>
            <w:tcBorders>
              <w:bottom w:val="single" w:sz="2" w:space="0" w:color="00548B"/>
            </w:tcBorders>
            <w:shd w:fill="auto" w:val="clear"/>
            <w:tcMar>
              <w:bottom w:w="28" w:type="dxa"/>
            </w:tcMar>
          </w:tcPr>
          <w:p>
            <w:pPr>
              <w:pStyle w:val="TableContents"/>
              <w:spacing w:before="0" w:after="0"/>
              <w:rPr>
                <w:rFonts w:ascii="arial" w:hAnsi="arial"/>
                <w:sz w:val="18"/>
              </w:rPr>
            </w:pPr>
            <w:r>
              <w:rPr>
                <w:rFonts w:ascii="arial" w:hAnsi="arial"/>
                <w:sz w:val="18"/>
              </w:rPr>
              <w:t>Debra Zumwalt (2)</w:t>
            </w:r>
          </w:p>
        </w:tc>
        <w:tc>
          <w:tcPr>
            <w:tcW w:w="273" w:type="dxa"/>
            <w:tcBorders>
              <w:bottom w:val="single" w:sz="2" w:space="0" w:color="00548B"/>
            </w:tcBorders>
            <w:shd w:fill="auto" w:val="clear"/>
            <w:tcMar>
              <w:bottom w:w="28" w:type="dxa"/>
            </w:tcMar>
            <w:vAlign w:val="bottom"/>
          </w:tcPr>
          <w:p>
            <w:pPr>
              <w:pStyle w:val="TableContents"/>
              <w:spacing w:before="0" w:after="283"/>
              <w:rPr/>
            </w:pPr>
            <w:r>
              <w:rPr/>
              <w:t>  </w:t>
            </w:r>
          </w:p>
        </w:tc>
        <w:tc>
          <w:tcPr>
            <w:tcW w:w="120" w:type="dxa"/>
            <w:tcBorders>
              <w:bottom w:val="single" w:sz="2" w:space="0" w:color="00548B"/>
            </w:tcBorders>
            <w:shd w:fill="auto" w:val="clear"/>
            <w:tcMar>
              <w:bottom w:w="28" w:type="dxa"/>
            </w:tcMar>
            <w:vAlign w:val="bottom"/>
          </w:tcPr>
          <w:p>
            <w:pPr>
              <w:pStyle w:val="TableContents"/>
              <w:spacing w:before="0" w:after="283"/>
              <w:rPr/>
            </w:pPr>
            <w:r>
              <w:rPr/>
              <w:t> </w:t>
            </w:r>
          </w:p>
        </w:tc>
        <w:tc>
          <w:tcPr>
            <w:tcW w:w="1857"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99,000</w:t>
            </w:r>
          </w:p>
        </w:tc>
        <w:tc>
          <w:tcPr>
            <w:tcW w:w="230" w:type="dxa"/>
            <w:tcBorders>
              <w:bottom w:val="single" w:sz="2" w:space="0" w:color="00548B"/>
            </w:tcBorders>
            <w:shd w:fill="auto" w:val="clear"/>
            <w:tcMar>
              <w:bottom w:w="28" w:type="dxa"/>
            </w:tcMar>
            <w:vAlign w:val="bottom"/>
          </w:tcPr>
          <w:p>
            <w:pPr>
              <w:pStyle w:val="TableContents"/>
              <w:spacing w:before="0" w:after="283"/>
              <w:rPr/>
            </w:pPr>
            <w:r>
              <w:rPr/>
              <w:t> </w:t>
            </w:r>
          </w:p>
        </w:tc>
        <w:tc>
          <w:tcPr>
            <w:tcW w:w="335" w:type="dxa"/>
            <w:tcBorders>
              <w:bottom w:val="single" w:sz="2" w:space="0" w:color="00548B"/>
            </w:tcBorders>
            <w:shd w:fill="auto" w:val="clear"/>
            <w:tcMar>
              <w:bottom w:w="28" w:type="dxa"/>
            </w:tcMar>
            <w:vAlign w:val="bottom"/>
          </w:tcPr>
          <w:p>
            <w:pPr>
              <w:pStyle w:val="TableContents"/>
              <w:spacing w:before="0" w:after="283"/>
              <w:rPr/>
            </w:pPr>
            <w:r>
              <w:rPr/>
              <w:t>  </w:t>
            </w:r>
          </w:p>
        </w:tc>
        <w:tc>
          <w:tcPr>
            <w:tcW w:w="68" w:type="dxa"/>
            <w:tcBorders>
              <w:bottom w:val="single" w:sz="2" w:space="0" w:color="00548B"/>
            </w:tcBorders>
            <w:shd w:fill="auto" w:val="clear"/>
            <w:tcMar>
              <w:bottom w:w="28" w:type="dxa"/>
            </w:tcMar>
            <w:vAlign w:val="bottom"/>
          </w:tcPr>
          <w:p>
            <w:pPr>
              <w:pStyle w:val="TableContents"/>
              <w:spacing w:before="0" w:after="283"/>
              <w:rPr/>
            </w:pPr>
            <w:r>
              <w:rPr/>
              <w:t> </w:t>
            </w:r>
          </w:p>
        </w:tc>
        <w:tc>
          <w:tcPr>
            <w:tcW w:w="1048"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170,004</w:t>
            </w:r>
          </w:p>
        </w:tc>
        <w:tc>
          <w:tcPr>
            <w:tcW w:w="292" w:type="dxa"/>
            <w:tcBorders>
              <w:bottom w:val="single" w:sz="2" w:space="0" w:color="00548B"/>
            </w:tcBorders>
            <w:shd w:fill="auto" w:val="clear"/>
            <w:tcMar>
              <w:bottom w:w="28" w:type="dxa"/>
            </w:tcMar>
            <w:vAlign w:val="bottom"/>
          </w:tcPr>
          <w:p>
            <w:pPr>
              <w:pStyle w:val="TableContents"/>
              <w:spacing w:before="0" w:after="283"/>
              <w:rPr/>
            </w:pPr>
            <w:r>
              <w:rPr/>
              <w:t> </w:t>
            </w:r>
          </w:p>
        </w:tc>
        <w:tc>
          <w:tcPr>
            <w:tcW w:w="335"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894"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269,004</w:t>
            </w:r>
          </w:p>
        </w:tc>
        <w:tc>
          <w:tcPr>
            <w:tcW w:w="297"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w:t>
            </w:r>
          </w:p>
        </w:tc>
        <w:tc>
          <w:tcPr>
            <w:tcW w:w="9695" w:type="dxa"/>
            <w:tcBorders/>
            <w:shd w:fill="auto" w:val="clear"/>
          </w:tcPr>
          <w:p>
            <w:pPr>
              <w:pStyle w:val="TableContents"/>
              <w:spacing w:before="0" w:after="0"/>
              <w:jc w:val="both"/>
              <w:rPr>
                <w:rFonts w:ascii="arial" w:hAnsi="arial"/>
                <w:sz w:val="18"/>
              </w:rPr>
            </w:pPr>
            <w:r>
              <w:rPr>
                <w:rFonts w:ascii="arial" w:hAnsi="arial"/>
                <w:sz w:val="18"/>
              </w:rPr>
              <w:t xml:space="preserve">This column represents the aggregate grant date fair value of shares granted to our directors in 2020. Grant date fair value is based on the closing price of Huron stock on the day of grant. Each of these grants vests ratably over the 12 calendar quarters following the grant.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w:t>
            </w:r>
          </w:p>
        </w:tc>
        <w:tc>
          <w:tcPr>
            <w:tcW w:w="9695" w:type="dxa"/>
            <w:tcBorders/>
            <w:shd w:fill="auto" w:val="clear"/>
          </w:tcPr>
          <w:p>
            <w:pPr>
              <w:pStyle w:val="TableContents"/>
              <w:spacing w:before="0" w:after="0"/>
              <w:jc w:val="both"/>
              <w:rPr>
                <w:rFonts w:ascii="arial" w:hAnsi="arial"/>
                <w:sz w:val="18"/>
              </w:rPr>
            </w:pPr>
            <w:r>
              <w:rPr>
                <w:rFonts w:ascii="arial" w:hAnsi="arial"/>
                <w:sz w:val="18"/>
              </w:rPr>
              <w:t xml:space="preserve">At December 31, 2020, each of Messrs. Lockhart and McCartney, and Ms. Zumwalt held 5,673 shares of restricted common stock; Mr. Sawyer held 6,146 shares of restricted common stock; and Ms. Singh-Bushell held 6,885 shares of restricted common stock.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Mr. McCartney has access to office space at the Companys principal business offices in Chicago. The Company does not incur any incremental costs in connection with the provision of this office space.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(4)</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Mr. Massaro retired from the board at the end of his term at the conclusion of the 2020 Annual Meeting of Stockholders held on May 8, 2020.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(5)</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Includes cash board fees deferred by non-employee directors under our Deferred Compensation Plan, as further described under the heading Deferred Compensation Plan on page 35. During 2020, Ms. Zumwalt was the only non-employee director to make deferrals of [a portion of] her cash board fees in the Deferred Compensation Plan. Ms. Zumwalt and Mr. McCartney have account balances in the Deferred Compensation Plan. The earnings on Ms. Zumwalts and Mr. McCartneys account balances in the Deferred Compensation Plan were $71,650 and $223,077, respectively, in 2020.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0"/>
        </w:rPr>
      </w:pPr>
      <w:bookmarkStart w:id="18" w:name="toc170561_16"/>
      <w:bookmarkEnd w:id="18"/>
      <w:r>
        <w:rPr>
          <w:rFonts w:ascii="arial" w:hAnsi="arial"/>
          <w:b/>
          <w:color w:val="00548B"/>
          <w:sz w:val="20"/>
        </w:rPr>
        <w:t>E</w:t>
      </w:r>
      <w:r>
        <w:rPr>
          <w:rFonts w:ascii="arial" w:hAnsi="arial"/>
          <w:b/>
          <w:color w:val="00548B"/>
          <w:sz w:val="14"/>
        </w:rPr>
        <w:t>XECUTIVE</w:t>
      </w:r>
      <w:r>
        <w:rPr>
          <w:rFonts w:ascii="arial" w:hAnsi="arial"/>
          <w:b/>
          <w:color w:val="00548B"/>
          <w:sz w:val="20"/>
        </w:rPr>
        <w:t xml:space="preserve"> O</w:t>
      </w:r>
      <w:r>
        <w:rPr>
          <w:rFonts w:ascii="arial" w:hAnsi="arial"/>
          <w:b/>
          <w:color w:val="00548B"/>
          <w:sz w:val="14"/>
        </w:rPr>
        <w:t>FFICERS</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Companys executive officers are as follows: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97"/>
        <w:gridCol w:w="120"/>
        <w:gridCol w:w="72"/>
        <w:gridCol w:w="361"/>
        <w:gridCol w:w="109"/>
        <w:gridCol w:w="218"/>
        <w:gridCol w:w="7228"/>
      </w:tblGrid>
      <w:tr>
        <w:trPr/>
        <w:tc>
          <w:tcPr>
            <w:tcW w:w="209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72" w:type="dxa"/>
            <w:tcBorders/>
            <w:shd w:fill="auto" w:val="clear"/>
            <w:vAlign w:val="center"/>
          </w:tcPr>
          <w:p>
            <w:pPr>
              <w:pStyle w:val="TableContents"/>
              <w:spacing w:before="0" w:after="283"/>
              <w:rPr>
                <w:sz w:val="4"/>
                <w:szCs w:val="4"/>
              </w:rPr>
            </w:pPr>
            <w:r>
              <w:rPr>
                <w:sz w:val="4"/>
                <w:szCs w:val="4"/>
              </w:rPr>
            </w:r>
          </w:p>
        </w:tc>
        <w:tc>
          <w:tcPr>
            <w:tcW w:w="36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218" w:type="dxa"/>
            <w:tcBorders/>
            <w:shd w:fill="auto" w:val="clear"/>
            <w:vAlign w:val="bottom"/>
          </w:tcPr>
          <w:p>
            <w:pPr>
              <w:pStyle w:val="TableContents"/>
              <w:spacing w:before="0" w:after="283"/>
              <w:rPr>
                <w:sz w:val="4"/>
                <w:szCs w:val="4"/>
              </w:rPr>
            </w:pPr>
            <w:r>
              <w:rPr>
                <w:sz w:val="4"/>
                <w:szCs w:val="4"/>
              </w:rPr>
            </w:r>
          </w:p>
        </w:tc>
        <w:tc>
          <w:tcPr>
            <w:tcW w:w="7228" w:type="dxa"/>
            <w:tcBorders/>
            <w:shd w:fill="auto" w:val="clear"/>
            <w:vAlign w:val="center"/>
          </w:tcPr>
          <w:p>
            <w:pPr>
              <w:pStyle w:val="TableContents"/>
              <w:spacing w:before="0" w:after="283"/>
              <w:rPr>
                <w:sz w:val="4"/>
                <w:szCs w:val="4"/>
              </w:rPr>
            </w:pPr>
            <w:r>
              <w:rPr>
                <w:sz w:val="4"/>
                <w:szCs w:val="4"/>
              </w:rPr>
            </w:r>
          </w:p>
        </w:tc>
      </w:tr>
      <w:tr>
        <w:trPr/>
        <w:tc>
          <w:tcPr>
            <w:tcW w:w="2097" w:type="dxa"/>
            <w:tcBorders/>
            <w:shd w:fill="00548B" w:val="clear"/>
            <w:vAlign w:val="bottom"/>
          </w:tcPr>
          <w:p>
            <w:pPr>
              <w:pStyle w:val="TableContents"/>
              <w:spacing w:before="0" w:after="283"/>
              <w:rPr>
                <w:color w:val="D8D8D8"/>
              </w:rPr>
            </w:pPr>
            <w:r>
              <w:rPr>
                <w:color w:val="D8D8D8"/>
              </w:rPr>
              <w:t>  </w:t>
            </w:r>
            <w:r>
              <w:rPr>
                <w:b/>
                <w:color w:val="D8D8D8"/>
              </w:rPr>
              <w:t>Name</w:t>
            </w:r>
          </w:p>
        </w:tc>
        <w:tc>
          <w:tcPr>
            <w:tcW w:w="120" w:type="dxa"/>
            <w:tcBorders/>
            <w:shd w:fill="00548B" w:val="clear"/>
            <w:vAlign w:val="bottom"/>
          </w:tcPr>
          <w:p>
            <w:pPr>
              <w:pStyle w:val="TableContents"/>
              <w:spacing w:before="0" w:after="283"/>
              <w:rPr/>
            </w:pPr>
            <w:r>
              <w:rPr/>
              <w:t>  </w:t>
            </w:r>
          </w:p>
        </w:tc>
        <w:tc>
          <w:tcPr>
            <w:tcW w:w="433" w:type="dxa"/>
            <w:gridSpan w:val="2"/>
            <w:tcBorders/>
            <w:shd w:fill="00548B" w:val="clear"/>
            <w:vAlign w:val="bottom"/>
          </w:tcPr>
          <w:p>
            <w:pPr>
              <w:pStyle w:val="TableContents"/>
              <w:spacing w:before="0" w:after="283"/>
              <w:jc w:val="center"/>
              <w:rPr>
                <w:b/>
                <w:color w:val="D8D8D8"/>
              </w:rPr>
            </w:pPr>
            <w:r>
              <w:rPr>
                <w:b/>
                <w:color w:val="D8D8D8"/>
              </w:rPr>
              <w:t>Age</w:t>
            </w:r>
          </w:p>
        </w:tc>
        <w:tc>
          <w:tcPr>
            <w:tcW w:w="109" w:type="dxa"/>
            <w:tcBorders/>
            <w:shd w:fill="00548B" w:val="clear"/>
            <w:vAlign w:val="bottom"/>
          </w:tcPr>
          <w:p>
            <w:pPr>
              <w:pStyle w:val="TableContents"/>
              <w:spacing w:before="0" w:after="283"/>
              <w:rPr/>
            </w:pPr>
            <w:r>
              <w:rPr/>
              <w:t> </w:t>
            </w:r>
          </w:p>
        </w:tc>
        <w:tc>
          <w:tcPr>
            <w:tcW w:w="218" w:type="dxa"/>
            <w:tcBorders/>
            <w:shd w:fill="00548B" w:val="clear"/>
            <w:vAlign w:val="bottom"/>
          </w:tcPr>
          <w:p>
            <w:pPr>
              <w:pStyle w:val="TableContents"/>
              <w:spacing w:before="0" w:after="283"/>
              <w:rPr/>
            </w:pPr>
            <w:r>
              <w:rPr/>
              <w:t>  </w:t>
            </w:r>
          </w:p>
        </w:tc>
        <w:tc>
          <w:tcPr>
            <w:tcW w:w="7228" w:type="dxa"/>
            <w:tcBorders/>
            <w:shd w:fill="00548B" w:val="clear"/>
            <w:vAlign w:val="bottom"/>
          </w:tcPr>
          <w:p>
            <w:pPr>
              <w:pStyle w:val="TableContents"/>
              <w:spacing w:before="0" w:after="283"/>
              <w:rPr>
                <w:b/>
                <w:color w:val="D8D8D8"/>
              </w:rPr>
            </w:pPr>
            <w:r>
              <w:rPr>
                <w:b/>
                <w:color w:val="D8D8D8"/>
              </w:rPr>
              <w:t>Position</w:t>
            </w:r>
          </w:p>
        </w:tc>
      </w:tr>
      <w:tr>
        <w:trPr/>
        <w:tc>
          <w:tcPr>
            <w:tcW w:w="2097" w:type="dxa"/>
            <w:tcBorders>
              <w:bottom w:val="single" w:sz="2" w:space="0" w:color="999999"/>
            </w:tcBorders>
            <w:shd w:fill="auto" w:val="clear"/>
            <w:tcMar>
              <w:bottom w:w="28" w:type="dxa"/>
            </w:tcMar>
          </w:tcPr>
          <w:p>
            <w:pPr>
              <w:pStyle w:val="TableContents"/>
              <w:spacing w:before="0" w:after="0"/>
              <w:rPr/>
            </w:pPr>
            <w:r>
              <w:rPr/>
              <w:t>  </w:t>
            </w:r>
            <w:r>
              <w:rPr>
                <w:rFonts w:ascii="arial" w:hAnsi="arial"/>
                <w:sz w:val="18"/>
              </w:rPr>
              <w:t>James H. Roth</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72" w:type="dxa"/>
            <w:tcBorders>
              <w:bottom w:val="single" w:sz="2" w:space="0" w:color="999999"/>
            </w:tcBorders>
            <w:shd w:fill="auto" w:val="clear"/>
            <w:tcMar>
              <w:bottom w:w="28" w:type="dxa"/>
            </w:tcMar>
            <w:vAlign w:val="bottom"/>
          </w:tcPr>
          <w:p>
            <w:pPr>
              <w:pStyle w:val="TableContents"/>
              <w:spacing w:before="0" w:after="283"/>
              <w:rPr/>
            </w:pPr>
            <w:r>
              <w:rPr/>
              <w:t> </w:t>
            </w:r>
          </w:p>
        </w:tc>
        <w:tc>
          <w:tcPr>
            <w:tcW w:w="361"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63</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218" w:type="dxa"/>
            <w:tcBorders>
              <w:bottom w:val="single" w:sz="2" w:space="0" w:color="999999"/>
            </w:tcBorders>
            <w:shd w:fill="auto" w:val="clear"/>
            <w:tcMar>
              <w:bottom w:w="28" w:type="dxa"/>
            </w:tcMar>
            <w:vAlign w:val="bottom"/>
          </w:tcPr>
          <w:p>
            <w:pPr>
              <w:pStyle w:val="TableContents"/>
              <w:spacing w:before="0" w:after="283"/>
              <w:rPr/>
            </w:pPr>
            <w:r>
              <w:rPr/>
              <w:t>  </w:t>
            </w:r>
          </w:p>
        </w:tc>
        <w:tc>
          <w:tcPr>
            <w:tcW w:w="7228" w:type="dxa"/>
            <w:tcBorders>
              <w:bottom w:val="single" w:sz="2" w:space="0" w:color="999999"/>
            </w:tcBorders>
            <w:shd w:fill="auto" w:val="clear"/>
            <w:tcMar>
              <w:bottom w:w="28" w:type="dxa"/>
            </w:tcMar>
            <w:vAlign w:val="bottom"/>
          </w:tcPr>
          <w:p>
            <w:pPr>
              <w:pStyle w:val="TableContents"/>
              <w:spacing w:before="0" w:after="283"/>
              <w:rPr/>
            </w:pPr>
            <w:r>
              <w:rPr/>
              <w:t>Chief Executive Officer and Director</w:t>
            </w:r>
          </w:p>
        </w:tc>
      </w:tr>
      <w:tr>
        <w:trPr/>
        <w:tc>
          <w:tcPr>
            <w:tcW w:w="2097" w:type="dxa"/>
            <w:tcBorders>
              <w:bottom w:val="single" w:sz="2" w:space="0" w:color="999999"/>
            </w:tcBorders>
            <w:shd w:fill="auto" w:val="clear"/>
            <w:tcMar>
              <w:bottom w:w="28" w:type="dxa"/>
            </w:tcMar>
          </w:tcPr>
          <w:p>
            <w:pPr>
              <w:pStyle w:val="TableContents"/>
              <w:spacing w:before="0" w:after="0"/>
              <w:rPr/>
            </w:pPr>
            <w:r>
              <w:rPr/>
              <w:t>  </w:t>
            </w:r>
            <w:r>
              <w:rPr>
                <w:rFonts w:ascii="arial" w:hAnsi="arial"/>
                <w:sz w:val="18"/>
              </w:rPr>
              <w:t>C. Mark Hussey</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72" w:type="dxa"/>
            <w:tcBorders>
              <w:bottom w:val="single" w:sz="2" w:space="0" w:color="999999"/>
            </w:tcBorders>
            <w:shd w:fill="auto" w:val="clear"/>
            <w:tcMar>
              <w:bottom w:w="28" w:type="dxa"/>
            </w:tcMar>
            <w:vAlign w:val="bottom"/>
          </w:tcPr>
          <w:p>
            <w:pPr>
              <w:pStyle w:val="TableContents"/>
              <w:spacing w:before="0" w:after="283"/>
              <w:rPr/>
            </w:pPr>
            <w:r>
              <w:rPr/>
              <w:t> </w:t>
            </w:r>
          </w:p>
        </w:tc>
        <w:tc>
          <w:tcPr>
            <w:tcW w:w="361"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60</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218" w:type="dxa"/>
            <w:tcBorders>
              <w:bottom w:val="single" w:sz="2" w:space="0" w:color="999999"/>
            </w:tcBorders>
            <w:shd w:fill="auto" w:val="clear"/>
            <w:tcMar>
              <w:bottom w:w="28" w:type="dxa"/>
            </w:tcMar>
            <w:vAlign w:val="bottom"/>
          </w:tcPr>
          <w:p>
            <w:pPr>
              <w:pStyle w:val="TableContents"/>
              <w:spacing w:before="0" w:after="283"/>
              <w:rPr/>
            </w:pPr>
            <w:r>
              <w:rPr/>
              <w:t>  </w:t>
            </w:r>
          </w:p>
        </w:tc>
        <w:tc>
          <w:tcPr>
            <w:tcW w:w="7228" w:type="dxa"/>
            <w:tcBorders>
              <w:bottom w:val="single" w:sz="2" w:space="0" w:color="999999"/>
            </w:tcBorders>
            <w:shd w:fill="auto" w:val="clear"/>
            <w:tcMar>
              <w:bottom w:w="28" w:type="dxa"/>
            </w:tcMar>
            <w:vAlign w:val="bottom"/>
          </w:tcPr>
          <w:p>
            <w:pPr>
              <w:pStyle w:val="TableContents"/>
              <w:spacing w:before="0" w:after="283"/>
              <w:rPr/>
            </w:pPr>
            <w:r>
              <w:rPr/>
              <w:t>President and Chief Operating Officer</w:t>
            </w:r>
          </w:p>
        </w:tc>
      </w:tr>
      <w:tr>
        <w:trPr/>
        <w:tc>
          <w:tcPr>
            <w:tcW w:w="2097" w:type="dxa"/>
            <w:tcBorders>
              <w:bottom w:val="single" w:sz="2" w:space="0" w:color="999999"/>
            </w:tcBorders>
            <w:shd w:fill="auto" w:val="clear"/>
            <w:tcMar>
              <w:bottom w:w="28" w:type="dxa"/>
            </w:tcMar>
          </w:tcPr>
          <w:p>
            <w:pPr>
              <w:pStyle w:val="TableContents"/>
              <w:spacing w:before="0" w:after="0"/>
              <w:rPr/>
            </w:pPr>
            <w:r>
              <w:rPr/>
              <w:t>  </w:t>
            </w:r>
            <w:r>
              <w:rPr>
                <w:rFonts w:ascii="arial" w:hAnsi="arial"/>
                <w:sz w:val="18"/>
              </w:rPr>
              <w:t>John D. Kelly</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72" w:type="dxa"/>
            <w:tcBorders>
              <w:bottom w:val="single" w:sz="2" w:space="0" w:color="999999"/>
            </w:tcBorders>
            <w:shd w:fill="auto" w:val="clear"/>
            <w:tcMar>
              <w:bottom w:w="28" w:type="dxa"/>
            </w:tcMar>
            <w:vAlign w:val="bottom"/>
          </w:tcPr>
          <w:p>
            <w:pPr>
              <w:pStyle w:val="TableContents"/>
              <w:spacing w:before="0" w:after="283"/>
              <w:rPr/>
            </w:pPr>
            <w:r>
              <w:rPr/>
              <w:t> </w:t>
            </w:r>
          </w:p>
        </w:tc>
        <w:tc>
          <w:tcPr>
            <w:tcW w:w="361"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45</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218" w:type="dxa"/>
            <w:tcBorders>
              <w:bottom w:val="single" w:sz="2" w:space="0" w:color="999999"/>
            </w:tcBorders>
            <w:shd w:fill="auto" w:val="clear"/>
            <w:tcMar>
              <w:bottom w:w="28" w:type="dxa"/>
            </w:tcMar>
            <w:vAlign w:val="bottom"/>
          </w:tcPr>
          <w:p>
            <w:pPr>
              <w:pStyle w:val="TableContents"/>
              <w:spacing w:before="0" w:after="283"/>
              <w:rPr/>
            </w:pPr>
            <w:r>
              <w:rPr/>
              <w:t>  </w:t>
            </w:r>
          </w:p>
        </w:tc>
        <w:tc>
          <w:tcPr>
            <w:tcW w:w="7228" w:type="dxa"/>
            <w:tcBorders>
              <w:bottom w:val="single" w:sz="2" w:space="0" w:color="999999"/>
            </w:tcBorders>
            <w:shd w:fill="auto" w:val="clear"/>
            <w:tcMar>
              <w:bottom w:w="28" w:type="dxa"/>
            </w:tcMar>
            <w:vAlign w:val="bottom"/>
          </w:tcPr>
          <w:p>
            <w:pPr>
              <w:pStyle w:val="TableContents"/>
              <w:spacing w:before="0" w:after="283"/>
              <w:rPr/>
            </w:pPr>
            <w:r>
              <w:rPr/>
              <w:t>Executive Vice President, Chief Financial Officer and Treasurer</w:t>
            </w:r>
          </w:p>
        </w:tc>
      </w:tr>
      <w:tr>
        <w:trPr/>
        <w:tc>
          <w:tcPr>
            <w:tcW w:w="2097" w:type="dxa"/>
            <w:tcBorders>
              <w:bottom w:val="single" w:sz="2" w:space="0" w:color="00548B"/>
            </w:tcBorders>
            <w:shd w:fill="auto" w:val="clear"/>
            <w:tcMar>
              <w:bottom w:w="28" w:type="dxa"/>
            </w:tcMar>
          </w:tcPr>
          <w:p>
            <w:pPr>
              <w:pStyle w:val="TableContents"/>
              <w:spacing w:before="0" w:after="0"/>
              <w:rPr/>
            </w:pPr>
            <w:r>
              <w:rPr/>
              <w:t>  </w:t>
            </w:r>
            <w:r>
              <w:rPr>
                <w:rFonts w:ascii="arial" w:hAnsi="arial"/>
                <w:sz w:val="18"/>
              </w:rPr>
              <w:t>Ernest W. Torain, Jr.1</w:t>
            </w:r>
          </w:p>
        </w:tc>
        <w:tc>
          <w:tcPr>
            <w:tcW w:w="120" w:type="dxa"/>
            <w:tcBorders>
              <w:bottom w:val="single" w:sz="2" w:space="0" w:color="00548B"/>
            </w:tcBorders>
            <w:shd w:fill="auto" w:val="clear"/>
            <w:tcMar>
              <w:bottom w:w="28" w:type="dxa"/>
            </w:tcMar>
            <w:vAlign w:val="bottom"/>
          </w:tcPr>
          <w:p>
            <w:pPr>
              <w:pStyle w:val="TableContents"/>
              <w:spacing w:before="0" w:after="283"/>
              <w:rPr/>
            </w:pPr>
            <w:r>
              <w:rPr/>
              <w:t>  </w:t>
            </w:r>
          </w:p>
        </w:tc>
        <w:tc>
          <w:tcPr>
            <w:tcW w:w="72" w:type="dxa"/>
            <w:tcBorders>
              <w:bottom w:val="single" w:sz="2" w:space="0" w:color="00548B"/>
            </w:tcBorders>
            <w:shd w:fill="auto" w:val="clear"/>
            <w:tcMar>
              <w:bottom w:w="28" w:type="dxa"/>
            </w:tcMar>
            <w:vAlign w:val="bottom"/>
          </w:tcPr>
          <w:p>
            <w:pPr>
              <w:pStyle w:val="TableContents"/>
              <w:spacing w:before="0" w:after="283"/>
              <w:rPr/>
            </w:pPr>
            <w:r>
              <w:rPr/>
              <w:t> </w:t>
            </w:r>
          </w:p>
        </w:tc>
        <w:tc>
          <w:tcPr>
            <w:tcW w:w="361"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56</w:t>
            </w:r>
          </w:p>
        </w:tc>
        <w:tc>
          <w:tcPr>
            <w:tcW w:w="109" w:type="dxa"/>
            <w:tcBorders>
              <w:bottom w:val="single" w:sz="2" w:space="0" w:color="00548B"/>
            </w:tcBorders>
            <w:shd w:fill="auto" w:val="clear"/>
            <w:tcMar>
              <w:bottom w:w="28" w:type="dxa"/>
            </w:tcMar>
            <w:vAlign w:val="bottom"/>
          </w:tcPr>
          <w:p>
            <w:pPr>
              <w:pStyle w:val="TableContents"/>
              <w:spacing w:before="0" w:after="283"/>
              <w:rPr/>
            </w:pPr>
            <w:r>
              <w:rPr/>
              <w:t> </w:t>
            </w:r>
          </w:p>
        </w:tc>
        <w:tc>
          <w:tcPr>
            <w:tcW w:w="218" w:type="dxa"/>
            <w:tcBorders>
              <w:bottom w:val="single" w:sz="2" w:space="0" w:color="00548B"/>
            </w:tcBorders>
            <w:shd w:fill="auto" w:val="clear"/>
            <w:tcMar>
              <w:bottom w:w="28" w:type="dxa"/>
            </w:tcMar>
            <w:vAlign w:val="bottom"/>
          </w:tcPr>
          <w:p>
            <w:pPr>
              <w:pStyle w:val="TableContents"/>
              <w:spacing w:before="0" w:after="283"/>
              <w:rPr/>
            </w:pPr>
            <w:r>
              <w:rPr/>
              <w:t>  </w:t>
            </w:r>
          </w:p>
        </w:tc>
        <w:tc>
          <w:tcPr>
            <w:tcW w:w="7228" w:type="dxa"/>
            <w:tcBorders>
              <w:bottom w:val="single" w:sz="2" w:space="0" w:color="00548B"/>
            </w:tcBorders>
            <w:shd w:fill="auto" w:val="clear"/>
            <w:tcMar>
              <w:bottom w:w="28" w:type="dxa"/>
            </w:tcMar>
            <w:vAlign w:val="bottom"/>
          </w:tcPr>
          <w:p>
            <w:pPr>
              <w:pStyle w:val="TableContents"/>
              <w:spacing w:before="0" w:after="283"/>
              <w:rPr/>
            </w:pPr>
            <w:r>
              <w:rPr/>
              <w:t>Executive Vice President, General Counsel and Corporate Secretary</w:t>
            </w:r>
          </w:p>
        </w:tc>
      </w:tr>
    </w:tbl>
    <w:p>
      <w:pPr>
        <w:pStyle w:val="TextBody"/>
        <w:spacing w:before="200" w:after="0"/>
        <w:jc w:val="both"/>
        <w:rPr>
          <w:rFonts w:ascii="arial" w:hAnsi="arial"/>
          <w:sz w:val="17"/>
        </w:rPr>
      </w:pPr>
      <w:r>
        <w:rPr>
          <w:rFonts w:ascii="arial" w:hAnsi="arial"/>
          <w:i/>
          <w:sz w:val="17"/>
        </w:rPr>
        <w:t>James H. Roth</w:t>
      </w:r>
      <w:r>
        <w:rPr>
          <w:rFonts w:ascii="arial" w:hAnsi="arial"/>
          <w:sz w:val="17"/>
        </w:rPr>
        <w:t xml:space="preserve">s biographical information is provided above under the caption Directors Not Standing for Election. </w:t>
      </w:r>
    </w:p>
    <w:p>
      <w:pPr>
        <w:pStyle w:val="TextBody"/>
        <w:spacing w:before="0" w:after="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3"/>
        <w:gridCol w:w="101"/>
        <w:gridCol w:w="5001"/>
      </w:tblGrid>
      <w:tr>
        <w:trPr/>
        <w:tc>
          <w:tcPr>
            <w:tcW w:w="5103"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1" w:type="dxa"/>
            <w:tcBorders/>
            <w:shd w:fill="auto" w:val="clear"/>
            <w:vAlign w:val="center"/>
          </w:tcPr>
          <w:p>
            <w:pPr>
              <w:pStyle w:val="TableContents"/>
              <w:spacing w:before="0" w:after="283"/>
              <w:rPr>
                <w:sz w:val="4"/>
                <w:szCs w:val="4"/>
              </w:rPr>
            </w:pPr>
            <w:r>
              <w:rPr>
                <w:sz w:val="4"/>
                <w:szCs w:val="4"/>
              </w:rPr>
            </w:r>
          </w:p>
        </w:tc>
      </w:tr>
      <w:tr>
        <w:trPr/>
        <w:tc>
          <w:tcPr>
            <w:tcW w:w="5103" w:type="dxa"/>
            <w:tcBorders/>
            <w:shd w:fill="auto" w:val="clear"/>
            <w:vAlign w:val="bottom"/>
          </w:tcPr>
          <w:p>
            <w:pPr>
              <w:pStyle w:val="TableContents"/>
              <w:spacing w:before="0" w:after="0"/>
              <w:jc w:val="both"/>
              <w:rPr/>
            </w:pPr>
            <w:r>
              <w:rPr/>
              <w:drawing>
                <wp:inline distT="0" distB="0" distL="0" distR="0">
                  <wp:extent cx="320675" cy="234950"/>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embed="rId21"/>
                          <a:stretch>
                            <a:fillRect/>
                          </a:stretch>
                        </pic:blipFill>
                        <pic:spPr bwMode="auto">
                          <a:xfrm>
                            <a:off x="0" y="0"/>
                            <a:ext cx="320675" cy="234950"/>
                          </a:xfrm>
                          <a:prstGeom prst="rect">
                            <a:avLst/>
                          </a:prstGeom>
                        </pic:spPr>
                      </pic:pic>
                    </a:graphicData>
                  </a:graphic>
                </wp:inline>
              </w:drawing>
            </w:r>
            <w:r>
              <w:rPr/>
              <w:t xml:space="preserve"> </w:t>
            </w:r>
          </w:p>
        </w:tc>
        <w:tc>
          <w:tcPr>
            <w:tcW w:w="101" w:type="dxa"/>
            <w:tcBorders/>
            <w:shd w:fill="auto" w:val="clear"/>
            <w:vAlign w:val="bottom"/>
          </w:tcPr>
          <w:p>
            <w:pPr>
              <w:pStyle w:val="TableContents"/>
              <w:spacing w:before="0" w:after="283"/>
              <w:rPr/>
            </w:pPr>
            <w:r>
              <w:rPr/>
              <w:t> </w:t>
            </w:r>
          </w:p>
        </w:tc>
        <w:tc>
          <w:tcPr>
            <w:tcW w:w="5001" w:type="dxa"/>
            <w:tcBorders/>
            <w:shd w:fill="auto" w:val="clear"/>
            <w:vAlign w:val="bottom"/>
          </w:tcPr>
          <w:p>
            <w:pPr>
              <w:pStyle w:val="TableContents"/>
              <w:spacing w:before="0" w:after="0"/>
              <w:rPr>
                <w:rFonts w:ascii="arial" w:hAnsi="arial"/>
                <w:b/>
                <w:sz w:val="18"/>
              </w:rPr>
            </w:pPr>
            <w:r>
              <w:rPr>
                <w:rFonts w:ascii="arial" w:hAnsi="arial"/>
                <w:b/>
                <w:sz w:val="18"/>
              </w:rPr>
              <w:t>C. Mark Hussey, President and Chief Operating Officer</w:t>
            </w:r>
          </w:p>
          <w:p>
            <w:pPr>
              <w:pStyle w:val="TableContents"/>
              <w:spacing w:before="0" w:after="20"/>
              <w:jc w:val="both"/>
              <w:rPr>
                <w:rFonts w:ascii="arial" w:hAnsi="arial"/>
                <w:sz w:val="18"/>
              </w:rPr>
            </w:pPr>
            <w:r>
              <w:rPr>
                <w:rFonts w:ascii="arial" w:hAnsi="arial"/>
                <w:i/>
                <w:sz w:val="18"/>
              </w:rPr>
              <w:t xml:space="preserve">C. Mark Hussey </w:t>
            </w:r>
            <w:r>
              <w:rPr>
                <w:rFonts w:ascii="arial" w:hAnsi="arial"/>
                <w:sz w:val="18"/>
              </w:rPr>
              <w:t>was appointed President of Huron in February 2019 and was appointed Chief Operating Officer of Huron in February 2014. He served as an Executive Vice President from July 2011 until February 2019. He had served as Chief Financial Officer from July 2011 until January 2017, and served as Hurons Treasurer from July 2011 until February 2016. Prior to joining Huron, from 2002 to 2011, Mr. Hussey served as Chief Financial Officer at Crosscom National, LLC, a privately held professional IT services organization deploying and servicing in-store technology solutions for large, national retailers. In that role, he was responsible for all finance and administrative functions for the company. Prior to that, from 2000 until 2002, he served as Executive Vice President and Chief Financial Officer, North America, at Information Resources, Inc. During his career, Mr. Hussey has held senior finance, accounting and investor relations positions at entities such as</w:t>
            </w:r>
          </w:p>
        </w:tc>
      </w:tr>
    </w:tbl>
    <w:p>
      <w:pPr>
        <w:pStyle w:val="TextBody"/>
        <w:spacing w:before="0" w:after="0"/>
        <w:jc w:val="both"/>
        <w:rPr>
          <w:rFonts w:ascii="arial" w:hAnsi="arial"/>
          <w:sz w:val="17"/>
        </w:rPr>
      </w:pPr>
      <w:r>
        <w:rPr>
          <w:rFonts w:ascii="arial" w:hAnsi="arial"/>
          <w:sz w:val="17"/>
        </w:rPr>
        <w:t xml:space="preserve">EZLinks Golf, Inc., Dominicks Finer Foods, Inc., and the Quaker Oats Company. Mr. Hussey received a B.S. in Accountancy from the University of Illinois, Urbana-Champaign and an M.B.A. in Finance from the University of Chicago Graduate School of Business. He holds professional designations as a Chartered Financial Analyst, Certified Management Accountant, and Certified Public Accountant. </w:t>
      </w:r>
    </w:p>
    <w:p>
      <w:pPr>
        <w:pStyle w:val="TextBody"/>
        <w:spacing w:before="0" w:after="0"/>
        <w:jc w:val="left"/>
        <w:rPr/>
      </w:pPr>
      <w:r>
        <w:rPr/>
        <w:t>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102"/>
        <w:gridCol w:w="101"/>
        <w:gridCol w:w="5002"/>
      </w:tblGrid>
      <w:tr>
        <w:trPr/>
        <w:tc>
          <w:tcPr>
            <w:tcW w:w="510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c>
          <w:tcPr>
            <w:tcW w:w="5102" w:type="dxa"/>
            <w:tcBorders/>
            <w:shd w:fill="auto" w:val="clear"/>
            <w:vAlign w:val="bottom"/>
          </w:tcPr>
          <w:p>
            <w:pPr>
              <w:pStyle w:val="TableContents"/>
              <w:spacing w:before="0" w:after="283"/>
              <w:rPr/>
            </w:pPr>
            <w:r>
              <w:rPr/>
              <w:drawing>
                <wp:inline distT="0" distB="0" distL="0" distR="0">
                  <wp:extent cx="320675" cy="24828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embed="rId22"/>
                          <a:stretch>
                            <a:fillRect/>
                          </a:stretch>
                        </pic:blipFill>
                        <pic:spPr bwMode="auto">
                          <a:xfrm>
                            <a:off x="0" y="0"/>
                            <a:ext cx="320675" cy="248285"/>
                          </a:xfrm>
                          <a:prstGeom prst="rect">
                            <a:avLst/>
                          </a:prstGeom>
                        </pic:spPr>
                      </pic:pic>
                    </a:graphicData>
                  </a:graphic>
                </wp:inline>
              </w:drawing>
            </w:r>
            <w:r>
              <w:rPr/>
              <w:t xml:space="preserve"> </w:t>
            </w:r>
          </w:p>
        </w:tc>
        <w:tc>
          <w:tcPr>
            <w:tcW w:w="101" w:type="dxa"/>
            <w:tcBorders/>
            <w:shd w:fill="auto" w:val="clear"/>
            <w:vAlign w:val="bottom"/>
          </w:tcPr>
          <w:p>
            <w:pPr>
              <w:pStyle w:val="TableContents"/>
              <w:spacing w:before="0" w:after="283"/>
              <w:rPr/>
            </w:pPr>
            <w:r>
              <w:rPr/>
              <w:t> </w:t>
            </w:r>
          </w:p>
        </w:tc>
        <w:tc>
          <w:tcPr>
            <w:tcW w:w="5002" w:type="dxa"/>
            <w:tcBorders/>
            <w:shd w:fill="auto" w:val="clear"/>
            <w:vAlign w:val="bottom"/>
          </w:tcPr>
          <w:p>
            <w:pPr>
              <w:pStyle w:val="TableContents"/>
              <w:spacing w:before="0" w:after="0"/>
              <w:rPr>
                <w:rFonts w:ascii="arial" w:hAnsi="arial"/>
                <w:b/>
                <w:sz w:val="18"/>
              </w:rPr>
            </w:pPr>
            <w:r>
              <w:rPr>
                <w:rFonts w:ascii="arial" w:hAnsi="arial"/>
                <w:b/>
                <w:sz w:val="18"/>
              </w:rPr>
              <w:t>John D. Kelly, Executive Vice President, Chief Financial Officer and Treasurer</w:t>
            </w:r>
          </w:p>
          <w:p>
            <w:pPr>
              <w:pStyle w:val="TableContents"/>
              <w:spacing w:before="0" w:after="20"/>
              <w:jc w:val="both"/>
              <w:rPr>
                <w:rFonts w:ascii="arial" w:hAnsi="arial"/>
                <w:sz w:val="17"/>
              </w:rPr>
            </w:pPr>
            <w:r>
              <w:rPr>
                <w:rFonts w:ascii="arial" w:hAnsi="arial"/>
                <w:i/>
                <w:sz w:val="17"/>
              </w:rPr>
              <w:t xml:space="preserve">John D. Kelly </w:t>
            </w:r>
            <w:r>
              <w:rPr>
                <w:rFonts w:ascii="arial" w:hAnsi="arial"/>
                <w:sz w:val="17"/>
              </w:rPr>
              <w:t>was appointed Executive Vice President and Chief Financial Officer of Huron effective January 3, 2017. He has served as Hurons Treasurer since February 2016. He had served as Chief Accounting Officer of Huron from February 2015 until January 2017, and had served as Corporate Vice President from November 2012 until his appointment as Executive Vice President. Previously, Mr. Kelly had served as Controller of Huron from November 2012 until February 2015, and prior to that served as Assistant Controller from October 2009. Mr. Kelly served as Hurons Assistant Treasurer from February 2015 until February 2016. Prior to joining Hurons Finance and Accounting department, Mr. Kelly was a Director in the Companys Disputes and Investigations practice for three years, serving clients in the manufacturing and services industries. Before he joined the Company in December 2006, Mr. Kelly had held several positions within Deloitte &amp; Touches Assurance</w:t>
            </w:r>
          </w:p>
        </w:tc>
      </w:tr>
    </w:tbl>
    <w:p>
      <w:pPr>
        <w:pStyle w:val="TextBody"/>
        <w:spacing w:before="0" w:after="0"/>
        <w:jc w:val="both"/>
        <w:rPr>
          <w:rFonts w:ascii="arial" w:hAnsi="arial"/>
          <w:sz w:val="17"/>
        </w:rPr>
      </w:pPr>
      <w:r>
        <w:rPr>
          <w:rFonts w:ascii="arial" w:hAnsi="arial"/>
          <w:sz w:val="17"/>
        </w:rPr>
        <w:t xml:space="preserve">and Advisory Services group, most recently as a Senior Manager. He received both a B.S. and M.S. in Accounting from the University of Notre Dame. Mr. Kelly is a Certified Public Accountant (Illinois). Commencing in February 2020, Mr. Kelly was appointed as a member of the Board of Directors of Shorelight Holdings LLC.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i/>
              </w:rPr>
            </w:pPr>
            <w:r>
              <w:rPr>
                <w:i/>
              </w:rPr>
              <w:t>1</w:t>
            </w:r>
          </w:p>
        </w:tc>
        <w:tc>
          <w:tcPr>
            <w:tcW w:w="10002" w:type="dxa"/>
            <w:tcBorders/>
            <w:shd w:fill="auto" w:val="clear"/>
          </w:tcPr>
          <w:p>
            <w:pPr>
              <w:pStyle w:val="TableContents"/>
              <w:spacing w:before="0" w:after="0"/>
              <w:jc w:val="left"/>
              <w:rPr>
                <w:rFonts w:ascii="arial" w:hAnsi="arial"/>
                <w:i/>
                <w:sz w:val="13"/>
              </w:rPr>
            </w:pPr>
            <w:r>
              <w:rPr>
                <w:rFonts w:ascii="arial" w:hAnsi="arial"/>
                <w:i/>
                <w:sz w:val="13"/>
              </w:rPr>
              <w:t xml:space="preserve">Effective March 1, 2020, Ernest W. Torain, Jr. was appointed Executive Vice President, General Counsel and Corporate Secretary succeeding Diane E. Ratekin who transitioned to the role of Advisor to the Board of Directors and the successor General Counsel.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001"/>
        <w:gridCol w:w="202"/>
        <w:gridCol w:w="5002"/>
      </w:tblGrid>
      <w:tr>
        <w:trPr/>
        <w:tc>
          <w:tcPr>
            <w:tcW w:w="5001" w:type="dxa"/>
            <w:tcBorders/>
            <w:shd w:fill="auto" w:val="clear"/>
            <w:vAlign w:val="center"/>
          </w:tcPr>
          <w:p>
            <w:pPr>
              <w:pStyle w:val="TableContents"/>
              <w:spacing w:before="0" w:after="283"/>
              <w:rPr>
                <w:sz w:val="4"/>
                <w:szCs w:val="4"/>
              </w:rPr>
            </w:pPr>
            <w:r>
              <w:rPr>
                <w:sz w:val="4"/>
                <w:szCs w:val="4"/>
              </w:rPr>
            </w:r>
          </w:p>
        </w:tc>
        <w:tc>
          <w:tcPr>
            <w:tcW w:w="202"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c>
          <w:tcPr>
            <w:tcW w:w="5001" w:type="dxa"/>
            <w:tcBorders/>
            <w:shd w:fill="auto" w:val="clear"/>
            <w:vAlign w:val="bottom"/>
          </w:tcPr>
          <w:p>
            <w:pPr>
              <w:pStyle w:val="TableContents"/>
              <w:spacing w:before="0" w:after="0"/>
              <w:jc w:val="both"/>
              <w:rPr/>
            </w:pPr>
            <w:r>
              <w:rPr/>
              <w:drawing>
                <wp:inline distT="0" distB="0" distL="0" distR="0">
                  <wp:extent cx="320675" cy="232410"/>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embed="rId23"/>
                          <a:stretch>
                            <a:fillRect/>
                          </a:stretch>
                        </pic:blipFill>
                        <pic:spPr bwMode="auto">
                          <a:xfrm>
                            <a:off x="0" y="0"/>
                            <a:ext cx="320675" cy="232410"/>
                          </a:xfrm>
                          <a:prstGeom prst="rect">
                            <a:avLst/>
                          </a:prstGeom>
                        </pic:spPr>
                      </pic:pic>
                    </a:graphicData>
                  </a:graphic>
                </wp:inline>
              </w:drawing>
            </w:r>
            <w:r>
              <w:rPr/>
              <w:t xml:space="preserve"> </w:t>
            </w:r>
          </w:p>
        </w:tc>
        <w:tc>
          <w:tcPr>
            <w:tcW w:w="202" w:type="dxa"/>
            <w:tcBorders/>
            <w:shd w:fill="auto" w:val="clear"/>
            <w:vAlign w:val="bottom"/>
          </w:tcPr>
          <w:p>
            <w:pPr>
              <w:pStyle w:val="TableContents"/>
              <w:spacing w:before="0" w:after="283"/>
              <w:rPr/>
            </w:pPr>
            <w:r>
              <w:rPr/>
              <w:t> </w:t>
            </w:r>
          </w:p>
        </w:tc>
        <w:tc>
          <w:tcPr>
            <w:tcW w:w="5002" w:type="dxa"/>
            <w:tcBorders/>
            <w:shd w:fill="auto" w:val="clear"/>
            <w:vAlign w:val="bottom"/>
          </w:tcPr>
          <w:p>
            <w:pPr>
              <w:pStyle w:val="TableContents"/>
              <w:spacing w:before="0" w:after="0"/>
              <w:rPr>
                <w:rFonts w:ascii="arial" w:hAnsi="arial"/>
                <w:b/>
                <w:sz w:val="18"/>
              </w:rPr>
            </w:pPr>
            <w:r>
              <w:rPr>
                <w:rFonts w:ascii="arial" w:hAnsi="arial"/>
                <w:b/>
                <w:sz w:val="18"/>
              </w:rPr>
              <w:t>Ernest W. Torain, Jr., Executive Vice President, General Counsel and Corporate Secretary</w:t>
            </w:r>
          </w:p>
          <w:p>
            <w:pPr>
              <w:pStyle w:val="TableContents"/>
              <w:spacing w:before="0" w:after="20"/>
              <w:jc w:val="both"/>
              <w:rPr>
                <w:rFonts w:ascii="arial" w:hAnsi="arial"/>
                <w:sz w:val="18"/>
              </w:rPr>
            </w:pPr>
            <w:r>
              <w:rPr>
                <w:rFonts w:ascii="arial" w:hAnsi="arial"/>
                <w:i/>
                <w:sz w:val="18"/>
              </w:rPr>
              <w:t>Ernest W. Torain, Jr.</w:t>
            </w:r>
            <w:r>
              <w:rPr>
                <w:rFonts w:ascii="arial" w:hAnsi="arial"/>
                <w:sz w:val="18"/>
              </w:rPr>
              <w:t xml:space="preserve"> was appointed Executive Vice President, General Counsel and Corporate Secretary effective March 1, 2020. Before joining Huron, from September 2010 to February 2020, Mr. Torain was in-house counsel at Illinois Tool Works Inc. (ITW), a public manufacturer of industrial equipment, in a variety of roles, most recently serving as Associate General Counsel. At ITW, Mr. Torain counseled business executives in a variety of areas, including mergers and acquisitions, litigation, intellectual property and general commercial matters. Prior to joining ITW, he spent more than six years at Vedder Price P.C., from 2004-2010, where he was a shareholder in the firms securities and capital markets practice. Prior to Vedder Price, Mr. Torain spent more</w:t>
            </w:r>
          </w:p>
        </w:tc>
      </w:tr>
    </w:tbl>
    <w:p>
      <w:pPr>
        <w:pStyle w:val="TextBody"/>
        <w:spacing w:before="0" w:after="0"/>
        <w:jc w:val="both"/>
        <w:rPr>
          <w:rFonts w:ascii="arial" w:hAnsi="arial"/>
          <w:sz w:val="18"/>
        </w:rPr>
      </w:pPr>
      <w:r>
        <w:rPr>
          <w:rFonts w:ascii="arial" w:hAnsi="arial"/>
          <w:sz w:val="18"/>
        </w:rPr>
        <w:t xml:space="preserve">than seven years at Katten Muchin Rosenman LLP from 1998-2004 including as a partner from 2001-2004 in the firms securities and M&amp;A practices. He received his J.D. from the University of Michigan Law School and received his A.B. in economics from Dartmouth College. He is a member of The Executive Leadership Council and The Economic Club of Chicago. He also served as a member of the steering committee for the ITW African American Network. Commencing in February 2021, Mr. Torain was appointed as a member of the Board of Directors of Chicago Humanities Festival. </w:t>
      </w:r>
    </w:p>
    <w:p>
      <w:pPr>
        <w:pStyle w:val="TextBody"/>
        <w:spacing w:before="200" w:after="0"/>
        <w:jc w:val="both"/>
        <w:rPr>
          <w:rFonts w:ascii="arial" w:hAnsi="arial"/>
          <w:b/>
          <w:color w:val="00548B"/>
          <w:sz w:val="20"/>
        </w:rPr>
      </w:pPr>
      <w:bookmarkStart w:id="19" w:name="toc170561_17"/>
      <w:bookmarkEnd w:id="19"/>
      <w:r>
        <w:rPr>
          <w:rFonts w:ascii="arial" w:hAnsi="arial"/>
          <w:b/>
          <w:color w:val="00548B"/>
          <w:sz w:val="20"/>
        </w:rPr>
        <w:t>S</w:t>
      </w:r>
      <w:r>
        <w:rPr>
          <w:rFonts w:ascii="arial" w:hAnsi="arial"/>
          <w:b/>
          <w:color w:val="00548B"/>
          <w:sz w:val="14"/>
        </w:rPr>
        <w:t>ECTION</w:t>
      </w:r>
      <w:r>
        <w:rPr>
          <w:rFonts w:ascii="arial" w:hAnsi="arial"/>
          <w:b/>
          <w:color w:val="00548B"/>
          <w:sz w:val="20"/>
        </w:rPr>
        <w:t xml:space="preserve"> 16(a) B</w:t>
      </w:r>
      <w:r>
        <w:rPr>
          <w:rFonts w:ascii="arial" w:hAnsi="arial"/>
          <w:b/>
          <w:color w:val="00548B"/>
          <w:sz w:val="14"/>
        </w:rPr>
        <w:t>ENEFICIAL</w:t>
      </w:r>
      <w:r>
        <w:rPr>
          <w:rFonts w:ascii="arial" w:hAnsi="arial"/>
          <w:b/>
          <w:color w:val="00548B"/>
          <w:sz w:val="20"/>
        </w:rPr>
        <w:t xml:space="preserve"> O</w:t>
      </w:r>
      <w:r>
        <w:rPr>
          <w:rFonts w:ascii="arial" w:hAnsi="arial"/>
          <w:b/>
          <w:color w:val="00548B"/>
          <w:sz w:val="14"/>
        </w:rPr>
        <w:t>WNERSHIP</w:t>
      </w:r>
      <w:r>
        <w:rPr>
          <w:rFonts w:ascii="arial" w:hAnsi="arial"/>
          <w:b/>
          <w:color w:val="00548B"/>
          <w:sz w:val="20"/>
        </w:rPr>
        <w:t xml:space="preserve"> R</w:t>
      </w:r>
      <w:r>
        <w:rPr>
          <w:rFonts w:ascii="arial" w:hAnsi="arial"/>
          <w:b/>
          <w:color w:val="00548B"/>
          <w:sz w:val="14"/>
        </w:rPr>
        <w:t>EPORTING</w:t>
      </w:r>
      <w:r>
        <w:rPr>
          <w:rFonts w:ascii="arial" w:hAnsi="arial"/>
          <w:b/>
          <w:color w:val="00548B"/>
          <w:sz w:val="20"/>
        </w:rPr>
        <w:t xml:space="preserve"> C</w:t>
      </w:r>
      <w:r>
        <w:rPr>
          <w:rFonts w:ascii="arial" w:hAnsi="arial"/>
          <w:b/>
          <w:color w:val="00548B"/>
          <w:sz w:val="14"/>
        </w:rPr>
        <w:t>OMPLIANCE</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Pursuant to Section 16(a) of the 1934 Act, the Companys directors, executive officers and persons who beneficially own 10% or more of our common stock (the Section 16 Reporting Persons) are required to report their initial ownership of common stock and subsequent changes in that ownership to the SEC. Section 16 Reporting Persons are required to furnish the Company with copies of all Section 16(a) forms that they file. Based upon our review of forms filed by the Section 16 Reporting Persons pursuant to the 1934 Act, we have not identified any late filings in 2020. </w:t>
      </w:r>
    </w:p>
    <w:p>
      <w:pPr>
        <w:pStyle w:val="TextBody"/>
        <w:spacing w:before="200" w:after="0"/>
        <w:jc w:val="both"/>
        <w:rPr>
          <w:rFonts w:ascii="arial" w:hAnsi="arial"/>
          <w:b/>
          <w:color w:val="00548B"/>
          <w:sz w:val="20"/>
        </w:rPr>
      </w:pPr>
      <w:bookmarkStart w:id="20" w:name="toc170561_18"/>
      <w:bookmarkEnd w:id="20"/>
      <w:r>
        <w:rPr>
          <w:rFonts w:ascii="arial" w:hAnsi="arial"/>
          <w:b/>
          <w:color w:val="00548B"/>
          <w:sz w:val="20"/>
        </w:rPr>
        <w:t>S</w:t>
      </w:r>
      <w:r>
        <w:rPr>
          <w:rFonts w:ascii="arial" w:hAnsi="arial"/>
          <w:b/>
          <w:color w:val="00548B"/>
          <w:sz w:val="14"/>
        </w:rPr>
        <w:t>TOCK</w:t>
      </w:r>
      <w:r>
        <w:rPr>
          <w:rFonts w:ascii="arial" w:hAnsi="arial"/>
          <w:b/>
          <w:color w:val="00548B"/>
          <w:sz w:val="20"/>
        </w:rPr>
        <w:t xml:space="preserve"> O</w:t>
      </w:r>
      <w:r>
        <w:rPr>
          <w:rFonts w:ascii="arial" w:hAnsi="arial"/>
          <w:b/>
          <w:color w:val="00548B"/>
          <w:sz w:val="14"/>
        </w:rPr>
        <w:t>WNERSHIP</w:t>
      </w:r>
      <w:r>
        <w:rPr>
          <w:rFonts w:ascii="arial" w:hAnsi="arial"/>
          <w:b/>
          <w:color w:val="00548B"/>
          <w:sz w:val="20"/>
        </w:rPr>
        <w:t xml:space="preserve"> </w:t>
      </w:r>
      <w:r>
        <w:rPr>
          <w:rFonts w:ascii="arial" w:hAnsi="arial"/>
          <w:b/>
          <w:color w:val="00548B"/>
          <w:sz w:val="14"/>
        </w:rPr>
        <w:t>OF</w:t>
      </w:r>
      <w:r>
        <w:rPr>
          <w:rFonts w:ascii="arial" w:hAnsi="arial"/>
          <w:b/>
          <w:color w:val="00548B"/>
          <w:sz w:val="20"/>
        </w:rPr>
        <w:t xml:space="preserve"> C</w:t>
      </w:r>
      <w:r>
        <w:rPr>
          <w:rFonts w:ascii="arial" w:hAnsi="arial"/>
          <w:b/>
          <w:color w:val="00548B"/>
          <w:sz w:val="14"/>
        </w:rPr>
        <w:t>ERTAIN</w:t>
      </w:r>
      <w:r>
        <w:rPr>
          <w:rFonts w:ascii="arial" w:hAnsi="arial"/>
          <w:b/>
          <w:color w:val="00548B"/>
          <w:sz w:val="20"/>
        </w:rPr>
        <w:t xml:space="preserve"> B</w:t>
      </w:r>
      <w:r>
        <w:rPr>
          <w:rFonts w:ascii="arial" w:hAnsi="arial"/>
          <w:b/>
          <w:color w:val="00548B"/>
          <w:sz w:val="14"/>
        </w:rPr>
        <w:t>ENEFICIAL</w:t>
      </w:r>
      <w:r>
        <w:rPr>
          <w:rFonts w:ascii="arial" w:hAnsi="arial"/>
          <w:b/>
          <w:color w:val="00548B"/>
          <w:sz w:val="20"/>
        </w:rPr>
        <w:t xml:space="preserve"> O</w:t>
      </w:r>
      <w:r>
        <w:rPr>
          <w:rFonts w:ascii="arial" w:hAnsi="arial"/>
          <w:b/>
          <w:color w:val="00548B"/>
          <w:sz w:val="14"/>
        </w:rPr>
        <w:t>WNERS</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M</w:t>
      </w:r>
      <w:r>
        <w:rPr>
          <w:rFonts w:ascii="arial" w:hAnsi="arial"/>
          <w:b/>
          <w:color w:val="00548B"/>
          <w:sz w:val="14"/>
        </w:rPr>
        <w:t>ANAGEMENT</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following table sets forth, as of the Record Date, certain information regarding the beneficial ownership of our common stock by: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306"/>
        <w:gridCol w:w="100"/>
        <w:gridCol w:w="9392"/>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color w:val="00548B"/>
              </w:rPr>
            </w:pPr>
            <w:r>
              <w:rPr>
                <w:color w:val="00548B"/>
              </w:rPr>
              <w:t></w:t>
            </w:r>
          </w:p>
        </w:tc>
        <w:tc>
          <w:tcPr>
            <w:tcW w:w="100" w:type="dxa"/>
            <w:tcBorders/>
            <w:shd w:fill="auto" w:val="clear"/>
          </w:tcPr>
          <w:p>
            <w:pPr>
              <w:pStyle w:val="TableContents"/>
              <w:spacing w:before="0" w:after="283"/>
              <w:rPr/>
            </w:pPr>
            <w:r>
              <w:rPr/>
              <w:t> </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each person known by us to beneficially own 5% or more of our common stock; </w:t>
            </w:r>
          </w:p>
        </w:tc>
      </w:tr>
    </w:tbl>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color w:val="00548B"/>
              </w:rPr>
            </w:pPr>
            <w:r>
              <w:rPr>
                <w:color w:val="00548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each of our named executive officers; </w:t>
            </w:r>
          </w:p>
        </w:tc>
      </w:tr>
    </w:tbl>
    <w:tbl>
      <w:tblPr>
        <w:tblW w:w="5000" w:type="pct"/>
        <w:jc w:val="left"/>
        <w:tblInd w:w="0" w:type="dxa"/>
        <w:tblCellMar>
          <w:top w:w="0" w:type="dxa"/>
          <w:left w:w="0" w:type="dxa"/>
          <w:bottom w:w="0" w:type="dxa"/>
          <w:right w:w="0" w:type="dxa"/>
        </w:tblCellMar>
      </w:tblPr>
      <w:tblGrid>
        <w:gridCol w:w="407"/>
        <w:gridCol w:w="306"/>
        <w:gridCol w:w="101"/>
        <w:gridCol w:w="9391"/>
      </w:tblGrid>
      <w:tr>
        <w:trPr/>
        <w:tc>
          <w:tcPr>
            <w:tcW w:w="407"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color w:val="00548B"/>
              </w:rPr>
            </w:pPr>
            <w:r>
              <w:rPr>
                <w:color w:val="00548B"/>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each member of our board of directors; and </w:t>
            </w:r>
          </w:p>
        </w:tc>
      </w:tr>
    </w:tbl>
    <w:tbl>
      <w:tblPr>
        <w:tblW w:w="5000" w:type="pct"/>
        <w:jc w:val="left"/>
        <w:tblInd w:w="0" w:type="dxa"/>
        <w:tblCellMar>
          <w:top w:w="0" w:type="dxa"/>
          <w:left w:w="0" w:type="dxa"/>
          <w:bottom w:w="0" w:type="dxa"/>
          <w:right w:w="0" w:type="dxa"/>
        </w:tblCellMar>
      </w:tblPr>
      <w:tblGrid>
        <w:gridCol w:w="408"/>
        <w:gridCol w:w="306"/>
        <w:gridCol w:w="102"/>
        <w:gridCol w:w="9389"/>
      </w:tblGrid>
      <w:tr>
        <w:trPr/>
        <w:tc>
          <w:tcPr>
            <w:tcW w:w="408" w:type="dxa"/>
            <w:tcBorders/>
            <w:shd w:fill="auto" w:val="clear"/>
            <w:vAlign w:val="center"/>
          </w:tcPr>
          <w:p>
            <w:pPr>
              <w:pStyle w:val="TableContents"/>
              <w:spacing w:before="0" w:after="283"/>
              <w:rPr/>
            </w:pPr>
            <w:r>
              <w:rPr/>
              <w:t> </w:t>
            </w:r>
          </w:p>
        </w:tc>
        <w:tc>
          <w:tcPr>
            <w:tcW w:w="306" w:type="dxa"/>
            <w:tcBorders/>
            <w:shd w:fill="auto" w:val="clear"/>
          </w:tcPr>
          <w:p>
            <w:pPr>
              <w:pStyle w:val="TableContents"/>
              <w:spacing w:before="0" w:after="283"/>
              <w:jc w:val="left"/>
              <w:rPr>
                <w:color w:val="00548B"/>
              </w:rPr>
            </w:pPr>
            <w:r>
              <w:rPr>
                <w:color w:val="00548B"/>
              </w:rPr>
              <w:t></w:t>
            </w:r>
          </w:p>
        </w:tc>
        <w:tc>
          <w:tcPr>
            <w:tcW w:w="102" w:type="dxa"/>
            <w:tcBorders/>
            <w:shd w:fill="auto" w:val="clear"/>
          </w:tcPr>
          <w:p>
            <w:pPr>
              <w:pStyle w:val="TableContents"/>
              <w:spacing w:before="0" w:after="283"/>
              <w:rPr/>
            </w:pPr>
            <w:r>
              <w:rPr/>
              <w:t> </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all directors and executive officers as a group.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Beneficial ownership is determined according to the rules of the Securities and Exchange Commission (the SEC) and generally means that a person has beneficial ownership of a security if he or she possesses sole or shared voting or investment power of that security and includes options that are currently exercisable or exercisable within 60 days as of the record date. Each director, officer or 5% or more stockholder, as the case may be, has furnished us with information with respect to beneficial ownership. Except as otherwise indicated, beneficial owners of common stock listed below, based on the information each of them has given to us, have sole investment and voting power with respect to their shares, except where community property laws may apply.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451"/>
        <w:gridCol w:w="227"/>
        <w:gridCol w:w="78"/>
        <w:gridCol w:w="1423"/>
        <w:gridCol w:w="266"/>
        <w:gridCol w:w="303"/>
        <w:gridCol w:w="97"/>
        <w:gridCol w:w="1013"/>
        <w:gridCol w:w="347"/>
      </w:tblGrid>
      <w:tr>
        <w:trPr/>
        <w:tc>
          <w:tcPr>
            <w:tcW w:w="6451"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423" w:type="dxa"/>
            <w:tcBorders/>
            <w:shd w:fill="auto" w:val="clear"/>
            <w:vAlign w:val="center"/>
          </w:tcPr>
          <w:p>
            <w:pPr>
              <w:pStyle w:val="TableContents"/>
              <w:spacing w:before="0" w:after="283"/>
              <w:rPr>
                <w:sz w:val="4"/>
                <w:szCs w:val="4"/>
              </w:rPr>
            </w:pPr>
            <w:r>
              <w:rPr>
                <w:sz w:val="4"/>
                <w:szCs w:val="4"/>
              </w:rPr>
            </w:r>
          </w:p>
        </w:tc>
        <w:tc>
          <w:tcPr>
            <w:tcW w:w="266" w:type="dxa"/>
            <w:tcBorders/>
            <w:shd w:fill="auto" w:val="clear"/>
            <w:vAlign w:val="bottom"/>
          </w:tcPr>
          <w:p>
            <w:pPr>
              <w:pStyle w:val="TableContents"/>
              <w:spacing w:before="0" w:after="283"/>
              <w:rPr>
                <w:sz w:val="4"/>
                <w:szCs w:val="4"/>
              </w:rPr>
            </w:pPr>
            <w:r>
              <w:rPr>
                <w:sz w:val="4"/>
                <w:szCs w:val="4"/>
              </w:rPr>
            </w:r>
          </w:p>
        </w:tc>
        <w:tc>
          <w:tcPr>
            <w:tcW w:w="303" w:type="dxa"/>
            <w:tcBorders/>
            <w:shd w:fill="auto" w:val="clear"/>
            <w:vAlign w:val="bottom"/>
          </w:tcPr>
          <w:p>
            <w:pPr>
              <w:pStyle w:val="TableContents"/>
              <w:spacing w:before="0" w:after="283"/>
              <w:rPr>
                <w:sz w:val="4"/>
                <w:szCs w:val="4"/>
              </w:rPr>
            </w:pPr>
            <w:r>
              <w:rPr>
                <w:sz w:val="4"/>
                <w:szCs w:val="4"/>
              </w:rPr>
            </w:r>
          </w:p>
        </w:tc>
        <w:tc>
          <w:tcPr>
            <w:tcW w:w="97" w:type="dxa"/>
            <w:tcBorders/>
            <w:shd w:fill="auto" w:val="clear"/>
            <w:vAlign w:val="center"/>
          </w:tcPr>
          <w:p>
            <w:pPr>
              <w:pStyle w:val="TableContents"/>
              <w:spacing w:before="0" w:after="283"/>
              <w:rPr>
                <w:sz w:val="4"/>
                <w:szCs w:val="4"/>
              </w:rPr>
            </w:pPr>
            <w:r>
              <w:rPr>
                <w:sz w:val="4"/>
                <w:szCs w:val="4"/>
              </w:rPr>
            </w:r>
          </w:p>
        </w:tc>
        <w:tc>
          <w:tcPr>
            <w:tcW w:w="1013" w:type="dxa"/>
            <w:tcBorders/>
            <w:shd w:fill="auto" w:val="clear"/>
            <w:vAlign w:val="center"/>
          </w:tcPr>
          <w:p>
            <w:pPr>
              <w:pStyle w:val="TableContents"/>
              <w:spacing w:before="0" w:after="283"/>
              <w:rPr>
                <w:sz w:val="4"/>
                <w:szCs w:val="4"/>
              </w:rPr>
            </w:pPr>
            <w:r>
              <w:rPr>
                <w:sz w:val="4"/>
                <w:szCs w:val="4"/>
              </w:rPr>
            </w:r>
          </w:p>
        </w:tc>
        <w:tc>
          <w:tcPr>
            <w:tcW w:w="347" w:type="dxa"/>
            <w:tcBorders/>
            <w:shd w:fill="auto" w:val="clear"/>
            <w:vAlign w:val="bottom"/>
          </w:tcPr>
          <w:p>
            <w:pPr>
              <w:pStyle w:val="TableContents"/>
              <w:spacing w:before="0" w:after="283"/>
              <w:rPr>
                <w:sz w:val="4"/>
                <w:szCs w:val="4"/>
              </w:rPr>
            </w:pPr>
            <w:r>
              <w:rPr>
                <w:sz w:val="4"/>
                <w:szCs w:val="4"/>
              </w:rPr>
            </w:r>
          </w:p>
        </w:tc>
      </w:tr>
      <w:tr>
        <w:trPr/>
        <w:tc>
          <w:tcPr>
            <w:tcW w:w="6451" w:type="dxa"/>
            <w:tcBorders/>
            <w:shd w:fill="00548B" w:val="clear"/>
            <w:vAlign w:val="bottom"/>
          </w:tcPr>
          <w:p>
            <w:pPr>
              <w:pStyle w:val="TableContents"/>
              <w:spacing w:before="0" w:after="283"/>
              <w:rPr/>
            </w:pPr>
            <w:r>
              <w:rPr/>
              <w:t> </w:t>
            </w:r>
          </w:p>
        </w:tc>
        <w:tc>
          <w:tcPr>
            <w:tcW w:w="227" w:type="dxa"/>
            <w:tcBorders/>
            <w:shd w:fill="00548B" w:val="clear"/>
            <w:vAlign w:val="bottom"/>
          </w:tcPr>
          <w:p>
            <w:pPr>
              <w:pStyle w:val="TableContents"/>
              <w:spacing w:before="0" w:after="283"/>
              <w:rPr/>
            </w:pPr>
            <w:r>
              <w:rPr/>
              <w:t>  </w:t>
            </w:r>
          </w:p>
        </w:tc>
        <w:tc>
          <w:tcPr>
            <w:tcW w:w="3180" w:type="dxa"/>
            <w:gridSpan w:val="6"/>
            <w:tcBorders/>
            <w:shd w:fill="00548B" w:val="clear"/>
            <w:vAlign w:val="bottom"/>
          </w:tcPr>
          <w:p>
            <w:pPr>
              <w:pStyle w:val="TableContents"/>
              <w:spacing w:before="0" w:after="283"/>
              <w:jc w:val="center"/>
              <w:rPr>
                <w:b/>
                <w:color w:val="D8D8D8"/>
              </w:rPr>
            </w:pPr>
            <w:r>
              <w:rPr>
                <w:b/>
                <w:color w:val="D8D8D8"/>
              </w:rPr>
              <w:t>Beneficial Ownership</w:t>
            </w:r>
          </w:p>
        </w:tc>
        <w:tc>
          <w:tcPr>
            <w:tcW w:w="347" w:type="dxa"/>
            <w:tcBorders/>
            <w:shd w:fill="00548B" w:val="clear"/>
            <w:vAlign w:val="bottom"/>
          </w:tcPr>
          <w:p>
            <w:pPr>
              <w:pStyle w:val="TableContents"/>
              <w:spacing w:before="0" w:after="283"/>
              <w:rPr/>
            </w:pPr>
            <w:r>
              <w:rPr/>
              <w:t> </w:t>
            </w:r>
          </w:p>
        </w:tc>
      </w:tr>
      <w:tr>
        <w:trPr/>
        <w:tc>
          <w:tcPr>
            <w:tcW w:w="6451" w:type="dxa"/>
            <w:tcBorders>
              <w:bottom w:val="single" w:sz="8" w:space="0" w:color="00548B"/>
            </w:tcBorders>
            <w:shd w:fill="00548B" w:val="clear"/>
            <w:tcMar>
              <w:bottom w:w="28" w:type="dxa"/>
            </w:tcMar>
            <w:vAlign w:val="bottom"/>
          </w:tcPr>
          <w:p>
            <w:pPr>
              <w:pStyle w:val="TableContents"/>
              <w:spacing w:before="0" w:after="283"/>
              <w:rPr>
                <w:b/>
                <w:color w:val="D8D8D8"/>
              </w:rPr>
            </w:pPr>
            <w:r>
              <w:rPr>
                <w:b/>
                <w:color w:val="D8D8D8"/>
              </w:rPr>
              <w:t>Name of beneficial owner (1)</w:t>
            </w:r>
          </w:p>
        </w:tc>
        <w:tc>
          <w:tcPr>
            <w:tcW w:w="227" w:type="dxa"/>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rPr/>
            </w:pPr>
            <w:r>
              <w:rPr/>
              <w:t>  </w:t>
            </w:r>
          </w:p>
        </w:tc>
        <w:tc>
          <w:tcPr>
            <w:tcW w:w="1501" w:type="dxa"/>
            <w:gridSpan w:val="2"/>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jc w:val="center"/>
              <w:rPr>
                <w:color w:val="D8D8D8"/>
              </w:rPr>
            </w:pPr>
            <w:r>
              <w:rPr>
                <w:color w:val="D8D8D8"/>
              </w:rPr>
              <w:t>        </w:t>
            </w:r>
            <w:r>
              <w:rPr>
                <w:b/>
                <w:color w:val="D8D8D8"/>
              </w:rPr>
              <w:t>Shares         </w:t>
            </w:r>
          </w:p>
        </w:tc>
        <w:tc>
          <w:tcPr>
            <w:tcW w:w="266" w:type="dxa"/>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rPr/>
            </w:pPr>
            <w:r>
              <w:rPr/>
              <w:t> </w:t>
            </w:r>
          </w:p>
        </w:tc>
        <w:tc>
          <w:tcPr>
            <w:tcW w:w="303" w:type="dxa"/>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rPr/>
            </w:pPr>
            <w:r>
              <w:rPr/>
              <w:t>  </w:t>
            </w:r>
          </w:p>
        </w:tc>
        <w:tc>
          <w:tcPr>
            <w:tcW w:w="1110" w:type="dxa"/>
            <w:gridSpan w:val="2"/>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jc w:val="center"/>
              <w:rPr>
                <w:color w:val="D8D8D8"/>
              </w:rPr>
            </w:pPr>
            <w:r>
              <w:rPr>
                <w:color w:val="D8D8D8"/>
              </w:rPr>
              <w:t>        </w:t>
            </w:r>
            <w:r>
              <w:rPr>
                <w:b/>
                <w:color w:val="D8D8D8"/>
              </w:rPr>
              <w:t>%         </w:t>
            </w:r>
          </w:p>
        </w:tc>
        <w:tc>
          <w:tcPr>
            <w:tcW w:w="347" w:type="dxa"/>
            <w:tcBorders>
              <w:top w:val="single" w:sz="2" w:space="0" w:color="D8D8D8"/>
              <w:bottom w:val="single" w:sz="8" w:space="0" w:color="00548B"/>
            </w:tcBorders>
            <w:shd w:fill="00548B" w:val="clear"/>
            <w:tcMar>
              <w:top w:w="28" w:type="dxa"/>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b/>
                <w:color w:val="00548B"/>
                <w:sz w:val="18"/>
              </w:rPr>
            </w:pPr>
            <w:r>
              <w:rPr>
                <w:rFonts w:ascii="arial" w:hAnsi="arial"/>
                <w:b/>
                <w:color w:val="00548B"/>
                <w:sz w:val="18"/>
              </w:rPr>
              <w:t>Beneficial owners of 5% or more:</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rPr/>
            </w:pPr>
            <w:r>
              <w:rPr/>
              <w:t> </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rPr/>
            </w:pPr>
            <w:r>
              <w:rPr/>
              <w:t> </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Wellington Management Group LLP (2)</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2,291,855</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10.02</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The Vanguard Group, Inc. (3)</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1,995,242</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8.72</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BlackRock, Inc. (4)</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1,641,970</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7.20</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b/>
                <w:color w:val="00548B"/>
                <w:sz w:val="18"/>
              </w:rPr>
            </w:pPr>
            <w:r>
              <w:rPr>
                <w:rFonts w:ascii="arial" w:hAnsi="arial"/>
                <w:b/>
                <w:color w:val="00548B"/>
                <w:sz w:val="18"/>
              </w:rPr>
              <w:t>Directors and Executive Officers:</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rPr/>
            </w:pPr>
            <w:r>
              <w:rPr/>
              <w:t> </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rPr/>
            </w:pPr>
            <w:r>
              <w:rPr/>
              <w:t> </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C. Mark Hussey (5)</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101,534</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John D. Kelly (6)</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36,436</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H. Eugene Lockhart (7)</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33,690</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George E. Massaro (8)</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17,719</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John McCartney (9)</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64,267</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James H. Roth (10)</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191,292</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Hugh E. Sawyer (11)</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24,519</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Ekta Singh-Bushell (12)</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11,255</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Ernest W. Torain, Jr. (13)</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6,949</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Debra Zumwalt (14)</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28" w:type="dxa"/>
            </w:tcMar>
            <w:vAlign w:val="bottom"/>
          </w:tcPr>
          <w:p>
            <w:pPr>
              <w:pStyle w:val="TableContents"/>
              <w:spacing w:before="0" w:after="283"/>
              <w:rPr/>
            </w:pPr>
            <w:r>
              <w:rPr/>
              <w:t> </w:t>
            </w:r>
          </w:p>
        </w:tc>
        <w:tc>
          <w:tcPr>
            <w:tcW w:w="142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19,958</w:t>
            </w:r>
          </w:p>
        </w:tc>
        <w:tc>
          <w:tcPr>
            <w:tcW w:w="266" w:type="dxa"/>
            <w:tcBorders>
              <w:bottom w:val="single" w:sz="2" w:space="0" w:color="999999"/>
            </w:tcBorders>
            <w:shd w:fill="auto" w:val="clear"/>
            <w:tcMar>
              <w:bottom w:w="28" w:type="dxa"/>
            </w:tcMar>
            <w:vAlign w:val="bottom"/>
          </w:tcPr>
          <w:p>
            <w:pPr>
              <w:pStyle w:val="TableContents"/>
              <w:spacing w:before="0" w:after="283"/>
              <w:rPr/>
            </w:pPr>
            <w:r>
              <w:rPr/>
              <w:t> </w:t>
            </w:r>
          </w:p>
        </w:tc>
        <w:tc>
          <w:tcPr>
            <w:tcW w:w="303" w:type="dxa"/>
            <w:tcBorders>
              <w:bottom w:val="single" w:sz="2" w:space="0" w:color="999999"/>
            </w:tcBorders>
            <w:shd w:fill="auto" w:val="clear"/>
            <w:tcMar>
              <w:bottom w:w="28" w:type="dxa"/>
            </w:tcMar>
            <w:vAlign w:val="bottom"/>
          </w:tcPr>
          <w:p>
            <w:pPr>
              <w:pStyle w:val="TableContents"/>
              <w:spacing w:before="0" w:after="283"/>
              <w:rPr/>
            </w:pPr>
            <w:r>
              <w:rPr/>
              <w:t>  </w:t>
            </w:r>
          </w:p>
        </w:tc>
        <w:tc>
          <w:tcPr>
            <w:tcW w:w="97" w:type="dxa"/>
            <w:tcBorders>
              <w:bottom w:val="single" w:sz="2" w:space="0" w:color="999999"/>
            </w:tcBorders>
            <w:shd w:fill="auto" w:val="clear"/>
            <w:tcMar>
              <w:bottom w:w="28" w:type="dxa"/>
            </w:tcMar>
            <w:vAlign w:val="bottom"/>
          </w:tcPr>
          <w:p>
            <w:pPr>
              <w:pStyle w:val="TableContents"/>
              <w:spacing w:before="0" w:after="283"/>
              <w:rPr/>
            </w:pPr>
            <w:r>
              <w:rPr/>
              <w:t> </w:t>
            </w:r>
          </w:p>
        </w:tc>
        <w:tc>
          <w:tcPr>
            <w:tcW w:w="101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w:t>
            </w:r>
          </w:p>
        </w:tc>
        <w:tc>
          <w:tcPr>
            <w:tcW w:w="34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451" w:type="dxa"/>
            <w:tcBorders>
              <w:bottom w:val="single" w:sz="2" w:space="0" w:color="00548B"/>
            </w:tcBorders>
            <w:shd w:fill="auto" w:val="clear"/>
            <w:tcMar>
              <w:bottom w:w="28" w:type="dxa"/>
            </w:tcMar>
          </w:tcPr>
          <w:p>
            <w:pPr>
              <w:pStyle w:val="TableContents"/>
              <w:spacing w:before="0" w:after="0"/>
              <w:rPr>
                <w:rFonts w:ascii="arial" w:hAnsi="arial"/>
                <w:sz w:val="18"/>
              </w:rPr>
            </w:pPr>
            <w:r>
              <w:rPr>
                <w:rFonts w:ascii="arial" w:hAnsi="arial"/>
                <w:sz w:val="18"/>
              </w:rPr>
              <w:t>All directors and executive officers as a group (10 persons) (15)</w:t>
            </w:r>
          </w:p>
        </w:tc>
        <w:tc>
          <w:tcPr>
            <w:tcW w:w="227" w:type="dxa"/>
            <w:tcBorders>
              <w:bottom w:val="single" w:sz="2" w:space="0" w:color="00548B"/>
            </w:tcBorders>
            <w:shd w:fill="auto" w:val="clear"/>
            <w:tcMar>
              <w:bottom w:w="28" w:type="dxa"/>
            </w:tcMar>
            <w:vAlign w:val="bottom"/>
          </w:tcPr>
          <w:p>
            <w:pPr>
              <w:pStyle w:val="TableContents"/>
              <w:spacing w:before="0" w:after="283"/>
              <w:rPr/>
            </w:pPr>
            <w:r>
              <w:rPr/>
              <w:t>  </w:t>
            </w:r>
          </w:p>
        </w:tc>
        <w:tc>
          <w:tcPr>
            <w:tcW w:w="78" w:type="dxa"/>
            <w:tcBorders>
              <w:bottom w:val="single" w:sz="2" w:space="0" w:color="00548B"/>
            </w:tcBorders>
            <w:shd w:fill="auto" w:val="clear"/>
            <w:tcMar>
              <w:bottom w:w="28" w:type="dxa"/>
            </w:tcMar>
            <w:vAlign w:val="bottom"/>
          </w:tcPr>
          <w:p>
            <w:pPr>
              <w:pStyle w:val="TableContents"/>
              <w:spacing w:before="0" w:after="283"/>
              <w:rPr/>
            </w:pPr>
            <w:r>
              <w:rPr/>
              <w:t> </w:t>
            </w:r>
          </w:p>
        </w:tc>
        <w:tc>
          <w:tcPr>
            <w:tcW w:w="1423"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489,900</w:t>
            </w:r>
          </w:p>
        </w:tc>
        <w:tc>
          <w:tcPr>
            <w:tcW w:w="266" w:type="dxa"/>
            <w:tcBorders>
              <w:bottom w:val="single" w:sz="2" w:space="0" w:color="00548B"/>
            </w:tcBorders>
            <w:shd w:fill="auto" w:val="clear"/>
            <w:tcMar>
              <w:bottom w:w="28" w:type="dxa"/>
            </w:tcMar>
            <w:vAlign w:val="bottom"/>
          </w:tcPr>
          <w:p>
            <w:pPr>
              <w:pStyle w:val="TableContents"/>
              <w:spacing w:before="0" w:after="283"/>
              <w:rPr/>
            </w:pPr>
            <w:r>
              <w:rPr/>
              <w:t> </w:t>
            </w:r>
          </w:p>
        </w:tc>
        <w:tc>
          <w:tcPr>
            <w:tcW w:w="303" w:type="dxa"/>
            <w:tcBorders>
              <w:bottom w:val="single" w:sz="2" w:space="0" w:color="00548B"/>
            </w:tcBorders>
            <w:shd w:fill="auto" w:val="clear"/>
            <w:tcMar>
              <w:bottom w:w="28" w:type="dxa"/>
            </w:tcMar>
            <w:vAlign w:val="bottom"/>
          </w:tcPr>
          <w:p>
            <w:pPr>
              <w:pStyle w:val="TableContents"/>
              <w:spacing w:before="0" w:after="283"/>
              <w:rPr/>
            </w:pPr>
            <w:r>
              <w:rPr/>
              <w:t>  </w:t>
            </w:r>
          </w:p>
        </w:tc>
        <w:tc>
          <w:tcPr>
            <w:tcW w:w="97" w:type="dxa"/>
            <w:tcBorders>
              <w:bottom w:val="single" w:sz="2" w:space="0" w:color="00548B"/>
            </w:tcBorders>
            <w:shd w:fill="auto" w:val="clear"/>
            <w:tcMar>
              <w:bottom w:w="28" w:type="dxa"/>
            </w:tcMar>
            <w:vAlign w:val="bottom"/>
          </w:tcPr>
          <w:p>
            <w:pPr>
              <w:pStyle w:val="TableContents"/>
              <w:spacing w:before="0" w:after="283"/>
              <w:rPr/>
            </w:pPr>
            <w:r>
              <w:rPr/>
              <w:t> </w:t>
            </w:r>
          </w:p>
        </w:tc>
        <w:tc>
          <w:tcPr>
            <w:tcW w:w="1013"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2.13</w:t>
            </w:r>
          </w:p>
        </w:tc>
        <w:tc>
          <w:tcPr>
            <w:tcW w:w="347"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Indicates less than 1% ownership.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The principal address for each of the stockholders, other than Wellington Management Group LLP, The Vanguard Group, Inc., and BlackRock, Inc., listed below is c/o Huron Consulting Group Inc., 550 West Van Buren Street, Chicago, Illinois 60607.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The principal address of Wellington Management Group LLP is 280 Congress Street, Boston, Massachusetts 02210. The shares are owned by Wellington Management Group LLP and the following subsidiaries of Wellington Management Group LLP: Wellington Group Holdings LLP, Wellington Investment Advisors Holdings LLP and Wellington Management Company LLP. Information regarding beneficial ownership of our common stock by Wellington Management Group LLP is included herein in reliance on a Schedule 13G/A filed with the SEC on February 4,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(3)</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The principal address of The Vanguard Group, Inc. is 100 Vanguard Blvd., Malvern, Pennsylvania 19355. The shares are owned by The Vanguard Group, Inc. and the following subsidiaries of The Vanguard Group, Inc.: Vanguard Asset Management, Limited, Vanguard Fiduciary Trust Company, Vanguard Global Advisors, LLC, Vanguard Group (Ireland) Limited, Vanguard Investments Australia Ltd., Vanguard Investments Canada Inc., Vanguard Investments Hong Kong Limited and Vanguard Investments UK, Limited. Information regarding beneficial ownership of our common stock by The Vanguard Group, Inc. is included herein in reliance on a Schedule 13G/A filed with the SEC on February 10,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The principal address of BlackRock, Inc. is 55 East 52nd Street, New York, New York 10055. The shares are owned by the following subsidiaries of BlackRock, Inc.: BlackRock (Netherlands) B.V., BlackRock Advisors, LLC, BlackRock Asset Management Canada Limited, BlackRock Asset Management Ireland Limited, BlackRock Asset Management Schweiz AG, BlackRock Financial Management, Inc., BlackRock Fund Advisors, BlackRock Institutional Trust Company, National Association, BlackRock Investment Management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3"/>
        <w:gridCol w:w="9702"/>
      </w:tblGrid>
      <w:tr>
        <w:trPr/>
        <w:tc>
          <w:tcPr>
            <w:tcW w:w="503" w:type="dxa"/>
            <w:tcBorders/>
            <w:shd w:fill="auto" w:val="clear"/>
            <w:vAlign w:val="center"/>
          </w:tcPr>
          <w:p>
            <w:pPr>
              <w:pStyle w:val="TableContents"/>
              <w:spacing w:before="0" w:after="283"/>
              <w:rPr/>
            </w:pPr>
            <w:r>
              <w:rPr/>
              <w:t> </w:t>
            </w:r>
          </w:p>
        </w:tc>
        <w:tc>
          <w:tcPr>
            <w:tcW w:w="9702" w:type="dxa"/>
            <w:tcBorders/>
            <w:shd w:fill="auto" w:val="clear"/>
          </w:tcPr>
          <w:p>
            <w:pPr>
              <w:pStyle w:val="TableContents"/>
              <w:spacing w:before="0" w:after="0"/>
              <w:jc w:val="both"/>
              <w:rPr>
                <w:rFonts w:ascii="arial" w:hAnsi="arial"/>
                <w:sz w:val="18"/>
              </w:rPr>
            </w:pPr>
            <w:r>
              <w:rPr>
                <w:rFonts w:ascii="arial" w:hAnsi="arial"/>
                <w:sz w:val="18"/>
              </w:rPr>
              <w:t xml:space="preserve">(Australia) Limited, BlackRock Investment Management (UK) Limited. and BlackRock Investment Management, LLC. Information regarding beneficial ownership of our common stock by BlackRock, Inc. is included herein in reliance on a Schedule 13G/A filed with the SEC on January 29,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Includes 15,647 shares issuable upon exercise of options that are exercisable currently or within 60 days of the Record Date. Also includes 25,890 shares of restricted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(6)</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Includes 22,593 shares of restricted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(7)</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Includes 4,664 shares of restricted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(8)</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Mr. Massaros term expired immediately prior to the Annual Meeting of Stockholders held on May 8, 2020. The shares reflected are as of May 8,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(9)</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Includes 4,664 shares of restricted common stock, as well as 1,259 shares held by a wholly-owned limited liability company of which Mr. McCartney is the sole owner.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(10)</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Includes 43,715 shares issuable upon exercise of options that are exercisable currently or within 60 days of the Record Date. Also includes 27,336 shares of restricted common stock, as well as 3,855 shares held by a family limited liability company.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(11)</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Includes 4,664 shares of restricted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(12)</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Includes 5,947 shares of restricted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(13)</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Includes 6,949 shares of restricted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(14)</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Includes 4,664 shares of restricted common stock.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(15)</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Includes an aggregate of 59,362 shares issuable upon exercise of options held by members of the group that are exercisable currently or within 60 days of the Record Date, as well as 107,371 shares of restricted common stock held by the Directors and Executive Officers listed above. </w:t>
            </w:r>
          </w:p>
        </w:tc>
      </w:tr>
    </w:tbl>
    <w:p>
      <w:pPr>
        <w:pStyle w:val="TextBody"/>
        <w:spacing w:before="200" w:after="0"/>
        <w:jc w:val="both"/>
        <w:rPr>
          <w:rFonts w:ascii="arial" w:hAnsi="arial"/>
          <w:b/>
          <w:color w:val="00548B"/>
          <w:sz w:val="20"/>
        </w:rPr>
      </w:pPr>
      <w:bookmarkStart w:id="21" w:name="toc170561_19"/>
      <w:bookmarkEnd w:id="21"/>
      <w:r>
        <w:rPr>
          <w:rFonts w:ascii="arial" w:hAnsi="arial"/>
          <w:b/>
          <w:color w:val="00548B"/>
          <w:sz w:val="20"/>
        </w:rPr>
        <w:t>C</w:t>
      </w:r>
      <w:r>
        <w:rPr>
          <w:rFonts w:ascii="arial" w:hAnsi="arial"/>
          <w:b/>
          <w:color w:val="00548B"/>
          <w:sz w:val="14"/>
        </w:rPr>
        <w:t>ORPORATE</w:t>
      </w:r>
      <w:r>
        <w:rPr>
          <w:rFonts w:ascii="arial" w:hAnsi="arial"/>
          <w:b/>
          <w:color w:val="00548B"/>
          <w:sz w:val="20"/>
        </w:rPr>
        <w:t xml:space="preserve"> S</w:t>
      </w:r>
      <w:r>
        <w:rPr>
          <w:rFonts w:ascii="arial" w:hAnsi="arial"/>
          <w:b/>
          <w:color w:val="00548B"/>
          <w:sz w:val="14"/>
        </w:rPr>
        <w:t>OCIAL</w:t>
      </w:r>
      <w:r>
        <w:rPr>
          <w:rFonts w:ascii="arial" w:hAnsi="arial"/>
          <w:b/>
          <w:color w:val="00548B"/>
          <w:sz w:val="20"/>
        </w:rPr>
        <w:t xml:space="preserve"> R</w:t>
      </w:r>
      <w:r>
        <w:rPr>
          <w:rFonts w:ascii="arial" w:hAnsi="arial"/>
          <w:b/>
          <w:color w:val="00548B"/>
          <w:sz w:val="14"/>
        </w:rPr>
        <w:t>ESPONSIBILITY</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challenges of 2020 demonstrated the need for organizations to address their impact on the individuals and organizations they serve, the communities in which they live and work, and society and the environment at large. Accompanying these challenges are opportunities to have a lasting impact, and below are the highlights of how Huron leaned into those opportunities in 2020 to support a more sustainable future for our stakeholders. As we continue to evolve our programs and initiatives to support a more sustainable future, we have focused our efforts on the United Nations Sustainable Development Goals (SDGs), and particularly five goals that are integrally aligned with our values-driven culture and the work we do for our clients each day: good health and well-being, quality education, gender equality, decent work and economic growth, and climate action. </w:t>
      </w:r>
    </w:p>
    <w:p>
      <w:pPr>
        <w:pStyle w:val="TextBody"/>
        <w:spacing w:before="200" w:after="0"/>
        <w:jc w:val="both"/>
        <w:rPr>
          <w:rFonts w:ascii="arial" w:hAnsi="arial"/>
          <w:b/>
          <w:sz w:val="18"/>
        </w:rPr>
      </w:pPr>
      <w:r>
        <w:rPr>
          <w:rFonts w:ascii="arial" w:hAnsi="arial"/>
          <w:b/>
          <w:sz w:val="18"/>
        </w:rPr>
        <w:t xml:space="preserve">Supporting our Stakeholders During the Pandemic </w:t>
      </w:r>
    </w:p>
    <w:p>
      <w:pPr>
        <w:pStyle w:val="TextBody"/>
        <w:spacing w:before="0" w:after="0"/>
        <w:jc w:val="both"/>
        <w:rPr>
          <w:rFonts w:ascii="arial" w:hAnsi="arial"/>
          <w:sz w:val="18"/>
        </w:rPr>
      </w:pPr>
      <w:r>
        <w:rPr>
          <w:rFonts w:ascii="arial" w:hAnsi="arial"/>
          <w:sz w:val="18"/>
        </w:rPr>
        <w:t xml:space="preserve">In 2020, nearly all organizations had to rethink their business models and how they deliver services to their customers, patients and students. Our Huron team continued to support our clients as they addressed challenges that were exacerbated by the pandemic while helping them prepare for an uncertain future. We helped hospitals and health systems increase bed capacity to support the influx of COVID-19 patients, created a free Stimulus Relief Gateway that served as an interactive tool to provide organizations information about potential stimulus funding, and provided crisis management services to government agencies, including setting up and mobilizing COVID-19 testing sites. Through these, and other innovative solutions, we supported our clients as they responded to and redesigned their businesses due to the COVID-19 pandemic. </w:t>
      </w:r>
    </w:p>
    <w:p>
      <w:pPr>
        <w:pStyle w:val="TextBody"/>
        <w:spacing w:before="200" w:after="0"/>
        <w:jc w:val="both"/>
        <w:rPr>
          <w:rFonts w:ascii="arial" w:hAnsi="arial"/>
          <w:sz w:val="18"/>
        </w:rPr>
      </w:pPr>
      <w:r>
        <w:rPr>
          <w:rFonts w:ascii="arial" w:hAnsi="arial"/>
          <w:sz w:val="18"/>
        </w:rPr>
        <w:t xml:space="preserve">The ongoing pandemic has impacted our people like never before. Throughout this challenging time, we have acted in accordance with our values and prioritized the health, safety and well-being of our team. In early March, our employees effectively transitioned to a remote work environment overnight. With resilience and innovation, they continued to collaborate successfully with each other and served our clients remotely. To ensure our team had the tools needed to be successful working from home, Huron provided two stipends for employees to invest in their home offices, making their work environments more productive and comfortable. We also provided additional childcare benefits to support our working parents, increased our flexible work arrangements to accommodate the various personal and professional needs of our employees and provided additional physical and mental health resources to support the well-being of our people.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19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With some of our clients performing essential healthcare or infrastructure services, there were times when our clients needed us alongside them. We provided our employees the option to serve our clients in person when it was safe to do so, compliant with governmental orders and CDC guidelines, and with various safety protocols in effect. The actions we took to support our people and foster our culture have helped us maintain a high level of employee engagement throughout the pandemic, reaching 81% compared to the Glint Employee Engagement global benchmark of 72%. We have also continued to provide our employees with training and certification programs to build their skills to thrive now and in the future. Our team devoted more than 500 hours to executive coaching, which focuses on the development of leadership skills to create positive change, manage complexity and build high-performing teams. Our employees have also embraced learning on-demand with LinkedIn learning and our new leadership learning series which has enabled more than 330 employees to practice building leadership qualities necessary to engage our talent and drive business results. </w:t>
      </w:r>
    </w:p>
    <w:p>
      <w:pPr>
        <w:pStyle w:val="TextBody"/>
        <w:spacing w:before="200" w:after="0"/>
        <w:jc w:val="both"/>
        <w:rPr>
          <w:rFonts w:ascii="arial" w:hAnsi="arial"/>
          <w:b/>
          <w:sz w:val="18"/>
        </w:rPr>
      </w:pPr>
      <w:r>
        <w:rPr>
          <w:rFonts w:ascii="arial" w:hAnsi="arial"/>
          <w:b/>
          <w:sz w:val="18"/>
        </w:rPr>
        <w:t xml:space="preserve">Elevating our Commitment to Diversity, Equity and Inclusion </w:t>
      </w:r>
    </w:p>
    <w:p>
      <w:pPr>
        <w:pStyle w:val="TextBody"/>
        <w:spacing w:before="0" w:after="0"/>
        <w:jc w:val="both"/>
        <w:rPr>
          <w:rFonts w:ascii="arial" w:hAnsi="arial"/>
          <w:sz w:val="18"/>
        </w:rPr>
      </w:pPr>
      <w:r>
        <w:rPr>
          <w:rFonts w:ascii="arial" w:hAnsi="arial"/>
          <w:sz w:val="18"/>
        </w:rPr>
        <w:t xml:space="preserve">Fundamental to our values is a workplace that fosters diversity and inclusion. In 2020, for the seventh year in a row, we were recognized by the Human Rights Campaign Foundation for receiving a perfect score of 100 on the Corporate Equality Index and the designation as a Best Firm to Work for LGBTQ Equality. And, for the tenth year in a row, Consulting magazine named Huron a Best Firm to Work For, recognizing our strong commitment to our people, our values, our clients and the communities we serve. Our Diversity and Inclusion Council, which was founded in 2011, along with our 10 employee resource groups known as iMatter teams, hosted more than 90 virtual events aimed at raising awareness on important issues, building a sense of community within Huron and celebrating what makes our colleagues unique. One such event was hosted by leaders from our African American iMatter team and our executive leadership team for an emotional, powerful and raw conversation on racism and equality, with more than half of the Companys employees in attendance. </w:t>
      </w:r>
    </w:p>
    <w:p>
      <w:pPr>
        <w:pStyle w:val="TextBody"/>
        <w:spacing w:before="200" w:after="0"/>
        <w:jc w:val="both"/>
        <w:rPr>
          <w:rFonts w:ascii="arial" w:hAnsi="arial"/>
          <w:sz w:val="18"/>
        </w:rPr>
      </w:pPr>
      <w:r>
        <w:rPr>
          <w:rFonts w:ascii="arial" w:hAnsi="arial"/>
          <w:sz w:val="18"/>
        </w:rPr>
        <w:t xml:space="preserve">To further our long-standing commitment to diversity, equity and inclusion, we introduced an action plan that builds on our strong foundation. Through our action plan, we will continue to foster an inclusive culture by advancing diverse representation across all levels of the organization, expanding our community outreach and support, performing pay equity studies, and strengthening our vendor processes to evaluate suppliers and ensure they align with our commitment to diversity and inclusion. Our investment in diversity, equity and inclusion extends beyond our organization, and 2020 was a year we broadened our reach more deeply into our communities. Huron added a matching gift campaign for organizations specifically working to make systemic changes in support of a more equitable and just society, including The POSSE Foundation, the NAACP Legal Defense and Educational Fund and the National Urban League. </w:t>
      </w:r>
    </w:p>
    <w:p>
      <w:pPr>
        <w:pStyle w:val="TextBody"/>
        <w:spacing w:before="200" w:after="0"/>
        <w:jc w:val="both"/>
        <w:rPr>
          <w:rFonts w:ascii="arial" w:hAnsi="arial"/>
          <w:b/>
          <w:sz w:val="18"/>
        </w:rPr>
      </w:pPr>
      <w:r>
        <w:rPr>
          <w:rFonts w:ascii="arial" w:hAnsi="arial"/>
          <w:b/>
          <w:sz w:val="18"/>
        </w:rPr>
        <w:t xml:space="preserve">Making an Impact in the Communities We Serve </w:t>
      </w:r>
    </w:p>
    <w:p>
      <w:pPr>
        <w:pStyle w:val="TextBody"/>
        <w:spacing w:before="0" w:after="0"/>
        <w:jc w:val="both"/>
        <w:rPr>
          <w:rFonts w:ascii="arial" w:hAnsi="arial"/>
          <w:sz w:val="18"/>
        </w:rPr>
      </w:pPr>
      <w:r>
        <w:rPr>
          <w:rFonts w:ascii="arial" w:hAnsi="arial"/>
          <w:sz w:val="18"/>
        </w:rPr>
        <w:t xml:space="preserve">With the impacts of the pandemic being deep and widespread, our team quickly adapted our volunteer efforts to the evolving environment. Huron made financial donations to multiple organizations supporting COVID-19 relief, donated meals to frontline workers and made masks for employees and nonprofit community organizations. </w:t>
      </w:r>
    </w:p>
    <w:p>
      <w:pPr>
        <w:pStyle w:val="TextBody"/>
        <w:spacing w:before="200" w:after="0"/>
        <w:jc w:val="both"/>
        <w:rPr>
          <w:rFonts w:ascii="arial" w:hAnsi="arial"/>
          <w:sz w:val="18"/>
        </w:rPr>
      </w:pPr>
      <w:r>
        <w:rPr>
          <w:rFonts w:ascii="arial" w:hAnsi="arial"/>
          <w:sz w:val="18"/>
        </w:rPr>
        <w:t xml:space="preserve">We aligned our community efforts in 2020 with our priority SDGs to focus our commitment and bring about meaningful impact. We participated in various service events to promote good health and well-being with the American Heart Association, the Boys &amp; Girls Club of Chicago and Movember Business Club. In furtherance of our belief that we all have a role to play in ensuring everyone can live a healthy life, managing directors across the organization and Hurons chief financial officer shaved their hair to raise over $63,000 for St. Jude Childrens Research Hospital in our Going Bald For a Cause campaign to support cancer research. We sponsored events in support of gender equality with ChickTech, a national organization focused on engaging women and girls of all ages in the technology industry while working to create a better technology culture for all. We also worked to improve access to quality education, skill-building and lifelong learning through a laptop drive benefiting the Dr. Martin Luther King, Jr. Boys &amp; Girls Club of Chicago and BePolished, a nonprofit organization that empowers young girls in single-parent households. As part of the companys 2020 holiday giving campaign, we ended the year with donations of $50,000 to five organizations: UNICEF, Worldreader, Girls Who Code, Year Up and Waterkeeper Alliance, whose missions align with our priority SDGs.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sz w:val="18"/>
        </w:rPr>
      </w:pPr>
      <w:r>
        <w:rPr>
          <w:rFonts w:ascii="arial" w:hAnsi="arial"/>
          <w:b/>
          <w:sz w:val="18"/>
        </w:rPr>
        <w:t xml:space="preserve">Managing Sustainably and Responsibly </w:t>
      </w:r>
    </w:p>
    <w:p>
      <w:pPr>
        <w:pStyle w:val="TextBody"/>
        <w:spacing w:before="0" w:after="0"/>
        <w:jc w:val="both"/>
        <w:rPr>
          <w:rFonts w:ascii="arial" w:hAnsi="arial"/>
          <w:sz w:val="18"/>
        </w:rPr>
      </w:pPr>
      <w:r>
        <w:rPr>
          <w:rFonts w:ascii="arial" w:hAnsi="arial"/>
          <w:sz w:val="18"/>
        </w:rPr>
        <w:t xml:space="preserve">In 2020, Huron updated its environmental policy to reflect the companys commitment to a more environmentally sustainable future and to focus our efforts where we have the most opportunity to have an impact. As a professional services firm that does not manufacture or distribute products or generate hazardous waste, carbon emissions related to travel, which is a necessary part of our business, is an area that provides an opportunity for us to reduce our environmental impact. In 2020, we dedicated additional time and resources to evaluate how we deliver our services and establish more flexible delivery models for a post-pandemic environment. We believe these changes will help to reduce our travel requirements going forward, increase flexibility for our employees and decrease our carbon footprint in the future. When we reopen our offices, we will continue with our commitment to reduce energy consumption and waste generation including through the elimination of single-use plastics. </w:t>
      </w:r>
    </w:p>
    <w:p>
      <w:pPr>
        <w:pStyle w:val="TextBody"/>
        <w:spacing w:before="200" w:after="0"/>
        <w:jc w:val="both"/>
        <w:rPr>
          <w:rFonts w:ascii="arial" w:hAnsi="arial"/>
          <w:sz w:val="18"/>
        </w:rPr>
      </w:pPr>
      <w:r>
        <w:rPr>
          <w:rFonts w:ascii="arial" w:hAnsi="arial"/>
          <w:sz w:val="18"/>
        </w:rPr>
        <w:t xml:space="preserve">Our Code of Business Conduct and Ethics (the Code) highlights our ethical way of doing business and sets the expectation for all employees to comply with the laws, rules and regulations that apply to our business and abide by the highest standards of business conduct. Huron is committed both in culture and in practice to protecting the privacy and data of everyone we interact with, from our clients to our employees, and doing so in compliance with the data protection laws where we operate around the world. We have an enterprise-wide privacy program that incorporates best practices and cybersecurity controls aligned with industry standards that enables us to vigilantly protect our clients data and our own. </w:t>
      </w:r>
    </w:p>
    <w:p>
      <w:pPr>
        <w:pStyle w:val="TextBody"/>
        <w:spacing w:before="200" w:after="0"/>
        <w:jc w:val="both"/>
        <w:rPr>
          <w:rFonts w:ascii="arial" w:hAnsi="arial"/>
          <w:sz w:val="18"/>
        </w:rPr>
      </w:pPr>
      <w:r>
        <w:rPr>
          <w:rFonts w:ascii="arial" w:hAnsi="arial"/>
          <w:sz w:val="18"/>
        </w:rPr>
        <w:t xml:space="preserve">To learn more about our corporate social responsibility efforts, please visit our website at: https://ir.huronconsultinggroup.com/corporatesustainability to read our 2020 Corporate Social Responsibility (CSR) report. We have also taken the next step to provide more quantitative and qualitative measurements in our Sustainability Accounting Standards Board (SASB) addendum to the CSR report. </w:t>
      </w:r>
    </w:p>
    <w:p>
      <w:pPr>
        <w:pStyle w:val="TextBody"/>
        <w:spacing w:before="200" w:after="0"/>
        <w:jc w:val="both"/>
        <w:rPr>
          <w:rFonts w:ascii="arial" w:hAnsi="arial"/>
          <w:b/>
          <w:color w:val="00548B"/>
          <w:sz w:val="20"/>
        </w:rPr>
      </w:pPr>
      <w:bookmarkStart w:id="22" w:name="toc170561_20"/>
      <w:bookmarkEnd w:id="22"/>
      <w:r>
        <w:rPr>
          <w:rFonts w:ascii="arial" w:hAnsi="arial"/>
          <w:b/>
          <w:color w:val="00548B"/>
          <w:sz w:val="20"/>
        </w:rPr>
        <w:t>S</w:t>
      </w:r>
      <w:r>
        <w:rPr>
          <w:rFonts w:ascii="arial" w:hAnsi="arial"/>
          <w:b/>
          <w:color w:val="00548B"/>
          <w:sz w:val="14"/>
        </w:rPr>
        <w:t>TOCKHOLDER</w:t>
      </w:r>
      <w:r>
        <w:rPr>
          <w:rFonts w:ascii="arial" w:hAnsi="arial"/>
          <w:b/>
          <w:color w:val="00548B"/>
          <w:sz w:val="20"/>
        </w:rPr>
        <w:t xml:space="preserve"> C</w:t>
      </w:r>
      <w:r>
        <w:rPr>
          <w:rFonts w:ascii="arial" w:hAnsi="arial"/>
          <w:b/>
          <w:color w:val="00548B"/>
          <w:sz w:val="14"/>
        </w:rPr>
        <w:t>OMMUNICATIONS</w:t>
      </w:r>
      <w:r>
        <w:rPr>
          <w:rFonts w:ascii="arial" w:hAnsi="arial"/>
          <w:b/>
          <w:color w:val="00548B"/>
          <w:sz w:val="20"/>
        </w:rPr>
        <w:t xml:space="preserve"> P</w:t>
      </w:r>
      <w:r>
        <w:rPr>
          <w:rFonts w:ascii="arial" w:hAnsi="arial"/>
          <w:b/>
          <w:color w:val="00548B"/>
          <w:sz w:val="14"/>
        </w:rPr>
        <w:t>OLICY</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Companys board of directors has established a process for stockholders to send communications to the board of directors. Stockholders may communicate with any member of the board of directors, including the chairperson of any committee, an entire committee or the independent directors or all directors as a group, by sending written communications to: </w:t>
      </w:r>
    </w:p>
    <w:p>
      <w:pPr>
        <w:pStyle w:val="TextBody"/>
        <w:spacing w:before="200" w:after="0"/>
        <w:jc w:val="left"/>
        <w:rPr>
          <w:rFonts w:ascii="arial" w:hAnsi="arial"/>
          <w:sz w:val="18"/>
        </w:rPr>
      </w:pPr>
      <w:r>
        <w:rPr>
          <w:rFonts w:ascii="arial" w:hAnsi="arial"/>
          <w:sz w:val="18"/>
        </w:rPr>
        <w:t xml:space="preserve">Corporate Secretary </w:t>
      </w:r>
    </w:p>
    <w:p>
      <w:pPr>
        <w:pStyle w:val="TextBody"/>
        <w:spacing w:before="0" w:after="0"/>
        <w:jc w:val="left"/>
        <w:rPr>
          <w:rFonts w:ascii="arial" w:hAnsi="arial"/>
          <w:sz w:val="18"/>
        </w:rPr>
      </w:pPr>
      <w:r>
        <w:rPr>
          <w:rFonts w:ascii="arial" w:hAnsi="arial"/>
          <w:sz w:val="18"/>
        </w:rPr>
        <w:t xml:space="preserve">Huron Consulting Group Inc. </w:t>
      </w:r>
    </w:p>
    <w:p>
      <w:pPr>
        <w:pStyle w:val="TextBody"/>
        <w:spacing w:before="0" w:after="0"/>
        <w:jc w:val="left"/>
        <w:rPr>
          <w:rFonts w:ascii="arial" w:hAnsi="arial"/>
          <w:sz w:val="18"/>
        </w:rPr>
      </w:pPr>
      <w:r>
        <w:rPr>
          <w:rFonts w:ascii="arial" w:hAnsi="arial"/>
          <w:sz w:val="18"/>
        </w:rPr>
        <w:t xml:space="preserve">550 West Van Buren Street </w:t>
      </w:r>
    </w:p>
    <w:p>
      <w:pPr>
        <w:pStyle w:val="TextBody"/>
        <w:spacing w:before="0" w:after="0"/>
        <w:jc w:val="left"/>
        <w:rPr>
          <w:rFonts w:ascii="arial" w:hAnsi="arial"/>
          <w:sz w:val="18"/>
        </w:rPr>
      </w:pPr>
      <w:r>
        <w:rPr>
          <w:rFonts w:ascii="arial" w:hAnsi="arial"/>
          <w:sz w:val="18"/>
        </w:rPr>
        <w:t xml:space="preserve">17th Floor </w:t>
      </w:r>
    </w:p>
    <w:p>
      <w:pPr>
        <w:pStyle w:val="TextBody"/>
        <w:spacing w:before="0" w:after="0"/>
        <w:jc w:val="left"/>
        <w:rPr>
          <w:rFonts w:ascii="arial" w:hAnsi="arial"/>
          <w:sz w:val="18"/>
        </w:rPr>
      </w:pPr>
      <w:r>
        <w:rPr>
          <w:rFonts w:ascii="arial" w:hAnsi="arial"/>
          <w:sz w:val="18"/>
        </w:rPr>
        <w:t xml:space="preserve">Chicago, Illinois 60607 </w:t>
      </w:r>
    </w:p>
    <w:p>
      <w:pPr>
        <w:pStyle w:val="TextBody"/>
        <w:spacing w:before="200" w:after="0"/>
        <w:jc w:val="left"/>
        <w:rPr>
          <w:rFonts w:ascii="arial" w:hAnsi="arial"/>
          <w:sz w:val="18"/>
        </w:rPr>
      </w:pPr>
      <w:r>
        <w:rPr>
          <w:rFonts w:ascii="arial" w:hAnsi="arial"/>
          <w:sz w:val="18"/>
        </w:rPr>
        <w:t xml:space="preserve">E-mail messages should be sent to </w:t>
      </w:r>
      <w:r>
        <w:rPr>
          <w:rFonts w:ascii="arial" w:hAnsi="arial"/>
          <w:i/>
          <w:sz w:val="18"/>
        </w:rPr>
        <w:t>corporatesecretary@hcg.com</w:t>
      </w:r>
      <w:r>
        <w:rPr>
          <w:rFonts w:ascii="arial" w:hAnsi="arial"/>
          <w:sz w:val="18"/>
        </w:rPr>
        <w:t xml:space="preserve">. </w:t>
      </w:r>
    </w:p>
    <w:p>
      <w:pPr>
        <w:pStyle w:val="TextBody"/>
        <w:spacing w:before="200" w:after="0"/>
        <w:jc w:val="both"/>
        <w:rPr>
          <w:rFonts w:ascii="arial" w:hAnsi="arial"/>
          <w:sz w:val="18"/>
        </w:rPr>
      </w:pPr>
      <w:r>
        <w:rPr>
          <w:rFonts w:ascii="arial" w:hAnsi="arial"/>
          <w:sz w:val="18"/>
        </w:rPr>
        <w:t xml:space="preserve">A stockholder must include his or her name and address in any such written or e-mail communication. The communication must indicate that the sender is a Company stockholder. </w:t>
      </w:r>
    </w:p>
    <w:p>
      <w:pPr>
        <w:pStyle w:val="TextBody"/>
        <w:spacing w:before="200" w:after="0"/>
        <w:jc w:val="both"/>
        <w:rPr>
          <w:rFonts w:ascii="arial" w:hAnsi="arial"/>
          <w:sz w:val="18"/>
        </w:rPr>
      </w:pPr>
      <w:r>
        <w:rPr>
          <w:rFonts w:ascii="arial" w:hAnsi="arial"/>
          <w:sz w:val="18"/>
        </w:rPr>
        <w:t xml:space="preserve">Each communication intended for the board of directors and received by the Corporate Secretary that is related to the operation of the Company and is not otherwise commercial in nature will be forwarded to the specified party following its clearance through normal security procedures. If the communication is mailed as personal, it will not be opened, but rather will be forwarded unopened to the intended recipient.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4"/>
        </w:rPr>
      </w:pPr>
      <w:bookmarkStart w:id="23" w:name="toc170561_21"/>
      <w:bookmarkEnd w:id="23"/>
      <w:r>
        <w:rPr>
          <w:rFonts w:ascii="arial" w:hAnsi="arial"/>
          <w:b/>
          <w:color w:val="00548B"/>
          <w:sz w:val="24"/>
        </w:rPr>
        <w:t xml:space="preserve">EXECUTIVE COMPENSATION </w:t>
      </w:r>
    </w:p>
    <w:p>
      <w:pPr>
        <w:pStyle w:val="TextBody"/>
        <w:spacing w:before="400" w:after="0"/>
        <w:jc w:val="both"/>
        <w:rPr>
          <w:rFonts w:ascii="arial" w:hAnsi="arial"/>
          <w:b/>
          <w:color w:val="00548B"/>
          <w:sz w:val="20"/>
        </w:rPr>
      </w:pPr>
      <w:bookmarkStart w:id="24" w:name="toc170561_22"/>
      <w:bookmarkEnd w:id="24"/>
      <w:r>
        <w:rPr>
          <w:rFonts w:ascii="arial" w:hAnsi="arial"/>
          <w:b/>
          <w:color w:val="00548B"/>
          <w:sz w:val="20"/>
        </w:rPr>
        <w:t>C</w:t>
      </w:r>
      <w:r>
        <w:rPr>
          <w:rFonts w:ascii="arial" w:hAnsi="arial"/>
          <w:b/>
          <w:color w:val="00548B"/>
          <w:sz w:val="14"/>
        </w:rPr>
        <w:t>OMPENSATION</w:t>
      </w:r>
      <w:r>
        <w:rPr>
          <w:rFonts w:ascii="arial" w:hAnsi="arial"/>
          <w:b/>
          <w:color w:val="00548B"/>
          <w:sz w:val="20"/>
        </w:rPr>
        <w:t xml:space="preserve"> D</w:t>
      </w:r>
      <w:r>
        <w:rPr>
          <w:rFonts w:ascii="arial" w:hAnsi="arial"/>
          <w:b/>
          <w:color w:val="00548B"/>
          <w:sz w:val="14"/>
        </w:rPr>
        <w:t>ISCUSSION</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A</w:t>
      </w:r>
      <w:r>
        <w:rPr>
          <w:rFonts w:ascii="arial" w:hAnsi="arial"/>
          <w:b/>
          <w:color w:val="00548B"/>
          <w:sz w:val="14"/>
        </w:rPr>
        <w:t>NALYSIS</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Compensation Discussion and Analysis provides information regarding the objectives and elements of our compensation program with respect to the compensation of persons who appear in the Summary Compensation Table (who we refer to collectively throughout this Proxy Statement as our named executive officers or NEOs).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0548B" w:val="clear"/>
          </w:tcPr>
          <w:p>
            <w:pPr>
              <w:pStyle w:val="TableContents"/>
              <w:spacing w:before="0" w:after="0"/>
              <w:rPr/>
            </w:pPr>
            <w:r>
              <w:rPr/>
              <w:t> </w:t>
            </w:r>
          </w:p>
          <w:p>
            <w:pPr>
              <w:pStyle w:val="TableContents"/>
              <w:spacing w:before="0" w:after="0"/>
              <w:jc w:val="center"/>
              <w:rPr>
                <w:rFonts w:ascii="arial" w:hAnsi="arial"/>
                <w:b/>
                <w:color w:val="D8D8D8"/>
                <w:sz w:val="20"/>
              </w:rPr>
            </w:pPr>
            <w:r>
              <w:rPr>
                <w:rFonts w:ascii="arial" w:hAnsi="arial"/>
                <w:b/>
                <w:color w:val="D8D8D8"/>
                <w:sz w:val="20"/>
              </w:rPr>
              <w:t>SECTION 1 - EXECUTIVE SUMMARY</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Huron is a global consultancy that collaborates with clients to drive strategic growth, ignite innovation and navigate constant change. Through a combination of strategy, expertise and creativity, we help clients accelerate operational, digital and cultural transformation, enabling the change they need to own their future. By embracing diverse perspectives, encouraging new ideas and challenging the status quo, we create sustainable performance improvements for the organizations we serve.</w:t>
            </w:r>
          </w:p>
          <w:p>
            <w:pPr>
              <w:pStyle w:val="TableContents"/>
              <w:spacing w:before="0" w:after="0"/>
              <w:jc w:val="left"/>
              <w:rPr/>
            </w:pPr>
            <w:r>
              <w:rPr/>
              <w:t> </w:t>
            </w:r>
          </w:p>
          <w:p>
            <w:pPr>
              <w:pStyle w:val="TableContents"/>
              <w:spacing w:before="0" w:after="0"/>
              <w:jc w:val="both"/>
              <w:rPr>
                <w:rFonts w:ascii="arial" w:hAnsi="arial"/>
                <w:b/>
                <w:i/>
                <w:sz w:val="18"/>
              </w:rPr>
            </w:pPr>
            <w:r>
              <w:rPr>
                <w:rFonts w:ascii="arial" w:hAnsi="arial"/>
                <w:b/>
                <w:i/>
                <w:sz w:val="18"/>
              </w:rPr>
              <w:t>Named Executive Officers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Hurons named executive officers are responsible for our Company-wide business operations and setting overall strategy of the organization. During 2020, Hurons named executive officer team consisted of the following individuals: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  Mr. Roth, Chief Executive Officer.</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  Mr. Hussey, President and Chief Operating Officer.</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  Mr. Kelly, Executive Vice President, Chief Financial Officer and Treasurer.</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  Mr. Torain, Executive Vice President, General Counsel and Corporate Secretary.</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  Ms. Ratekin, former Executive Vice President, General Counsel and Corporate Secretary.2</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This Compensation Discussion and Analysis describes our NEO compensation program. However, our biggest asset is our approximately 3,900 employees who work directly with our clients to drive transformational change. For this reason, more than 85% of the equity that we awarded in 2020 was granted to non-NEOs, with the largest emphasis on our practice leaders and managing directors.</w:t>
            </w:r>
          </w:p>
          <w:p>
            <w:pPr>
              <w:pStyle w:val="TableContents"/>
              <w:spacing w:before="0" w:after="20"/>
              <w:jc w:val="left"/>
              <w:rPr/>
            </w:pPr>
            <w:r>
              <w:rPr/>
              <w:t> </w:t>
            </w:r>
          </w:p>
        </w:tc>
      </w:tr>
      <w:tr>
        <w:trPr/>
        <w:tc>
          <w:tcPr>
            <w:tcW w:w="10205" w:type="dxa"/>
            <w:tcBorders/>
            <w:shd w:fill="00548B" w:val="clear"/>
          </w:tcPr>
          <w:p>
            <w:pPr>
              <w:pStyle w:val="TableContents"/>
              <w:spacing w:before="0" w:after="0"/>
              <w:rPr/>
            </w:pPr>
            <w:r>
              <w:rPr/>
              <w:t> </w:t>
            </w:r>
          </w:p>
          <w:p>
            <w:pPr>
              <w:pStyle w:val="TableContents"/>
              <w:spacing w:before="0" w:after="0"/>
              <w:jc w:val="center"/>
              <w:rPr>
                <w:rFonts w:ascii="arial" w:hAnsi="arial"/>
                <w:b/>
                <w:color w:val="E5E5E5"/>
                <w:sz w:val="20"/>
              </w:rPr>
            </w:pPr>
            <w:r>
              <w:rPr>
                <w:rFonts w:ascii="arial" w:hAnsi="arial"/>
                <w:b/>
                <w:color w:val="E5E5E5"/>
                <w:sz w:val="20"/>
              </w:rPr>
              <w:t>Business and Talent Strategy</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0"/>
              <w:jc w:val="both"/>
              <w:rPr>
                <w:rFonts w:ascii="arial" w:hAnsi="arial"/>
                <w:sz w:val="18"/>
              </w:rPr>
            </w:pPr>
            <w:r>
              <w:rPr>
                <w:rFonts w:ascii="arial" w:hAnsi="arial"/>
                <w:sz w:val="18"/>
              </w:rPr>
              <w:t>Our business strategy is to be the premier transformation partner for our clients. Through our integrated capabilities in strategy and innovation, business operations, digital, technology and analytics, culture and organizational transformation we help organizations face rapid and disruptive change. To ensure the success of our business strategy and our ability to deliver sustained value to our shareholders, Huron focuses on:</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  Enabling organizations to lead through transformational change by providing integrated offerings built on our expertise and the depth of our industry knowledge.</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  Delivering high-value, quality services to our clients to support their comprehensive needs, from strategy development to execution.</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  Broadening and strengthening our capabilities and breadth of services to continue to best serve our clients.</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  Attracting, retaining, and motivating high caliber employees with complementary backgrounds, perspectives and experience levels, and strong subject matter, functional and/or technical expertise.</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  Investing in our people and fostering a work environment that values diversity and inclusion, which ignites innovation and enables our people and our clients to achieve their full potential.</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  Supplementing organic growth by successfully identifying, executing and integrating acquisitions that expand our current market offerings and deepen our industry expertise or broaden our capabilities to best serve our clients needs.</w:t>
            </w:r>
          </w:p>
          <w:p>
            <w:pPr>
              <w:pStyle w:val="TableContents"/>
              <w:spacing w:before="0" w:after="20"/>
              <w:jc w:val="both"/>
              <w:rPr>
                <w:rFonts w:ascii="arial" w:hAnsi="arial"/>
                <w:sz w:val="18"/>
              </w:rPr>
            </w:pPr>
            <w:r>
              <w:rPr>
                <w:rFonts w:ascii="arial" w:hAnsi="arial"/>
                <w:color w:val="00548B"/>
                <w:sz w:val="18"/>
              </w:rPr>
              <w:t></w:t>
            </w:r>
            <w:r>
              <w:rPr>
                <w:rFonts w:ascii="arial" w:hAnsi="arial"/>
                <w:sz w:val="18"/>
              </w:rPr>
              <w:t>  Committing to making an impact on the communities in which we live and work and taking action to facilitate a brighter future.</w:t>
            </w:r>
          </w:p>
        </w:tc>
      </w:tr>
    </w:tbl>
    <w:p>
      <w:pPr>
        <w:pStyle w:val="TextBody"/>
        <w:spacing w:before="0" w:after="0"/>
        <w:jc w:val="both"/>
        <w:rPr/>
      </w:pPr>
      <w:r>
        <w:rPr/>
        <w:t>  </w:t>
      </w:r>
    </w:p>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144"/>
        <w:gridCol w:w="10061"/>
      </w:tblGrid>
      <w:tr>
        <w:trPr/>
        <w:tc>
          <w:tcPr>
            <w:tcW w:w="144" w:type="dxa"/>
            <w:tcBorders/>
            <w:shd w:fill="auto" w:val="clear"/>
          </w:tcPr>
          <w:p>
            <w:pPr>
              <w:pStyle w:val="TableContents"/>
              <w:spacing w:before="0" w:after="283"/>
              <w:jc w:val="left"/>
              <w:rPr>
                <w:i/>
              </w:rPr>
            </w:pPr>
            <w:r>
              <w:rPr>
                <w:i/>
              </w:rPr>
              <w:t>2</w:t>
            </w:r>
          </w:p>
        </w:tc>
        <w:tc>
          <w:tcPr>
            <w:tcW w:w="10061" w:type="dxa"/>
            <w:tcBorders/>
            <w:shd w:fill="auto" w:val="clear"/>
          </w:tcPr>
          <w:p>
            <w:pPr>
              <w:pStyle w:val="TableContents"/>
              <w:spacing w:before="0" w:after="0"/>
              <w:jc w:val="both"/>
              <w:rPr>
                <w:rFonts w:ascii="arial" w:hAnsi="arial"/>
                <w:i/>
                <w:sz w:val="13"/>
              </w:rPr>
            </w:pPr>
            <w:r>
              <w:rPr>
                <w:rFonts w:ascii="arial" w:hAnsi="arial"/>
                <w:i/>
                <w:sz w:val="13"/>
              </w:rPr>
              <w:t xml:space="preserve">Ms. Ratekin retired as Executive Vice President, General Counsel and Secretary effective March 1, 2020, at which time Mr. Torain succeeded her in that role.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0548B" w:val="clear"/>
          </w:tcPr>
          <w:p>
            <w:pPr>
              <w:pStyle w:val="TableContents"/>
              <w:spacing w:before="0" w:after="0"/>
              <w:rPr/>
            </w:pPr>
            <w:r>
              <w:rPr/>
              <w:t> </w:t>
            </w:r>
          </w:p>
          <w:p>
            <w:pPr>
              <w:pStyle w:val="TableContents"/>
              <w:spacing w:before="0" w:after="0"/>
              <w:jc w:val="center"/>
              <w:rPr>
                <w:rFonts w:ascii="arial" w:hAnsi="arial"/>
                <w:b/>
                <w:color w:val="E5E5E5"/>
                <w:sz w:val="20"/>
              </w:rPr>
            </w:pPr>
            <w:r>
              <w:rPr>
                <w:rFonts w:ascii="arial" w:hAnsi="arial"/>
                <w:b/>
                <w:color w:val="E5E5E5"/>
                <w:sz w:val="20"/>
              </w:rPr>
              <w:t>Business Results</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0"/>
              <w:jc w:val="both"/>
              <w:rPr>
                <w:rFonts w:ascii="arial" w:hAnsi="arial"/>
                <w:b/>
                <w:sz w:val="18"/>
              </w:rPr>
            </w:pPr>
            <w:r>
              <w:rPr>
                <w:rFonts w:ascii="arial" w:hAnsi="arial"/>
                <w:b/>
                <w:sz w:val="18"/>
              </w:rPr>
              <w:t>Performance Update</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We began 2020 with a significant amount of optimism about our business as we built on the momentum of our 2019 performance. Revenues in the first quarter of 2020 grew 9% over the same quarter in 2019, driven largely by organic growth across all three of the Companys operating segments. Since then, the global pandemic, the related economic crisis created challenges for Huron, our people, our clients and the communities in which we live and work. We faced these challenges head on, working closely with our clients, employees and investors to manage near-term issues while continuing to execute our long-term strategy, which we believe will position Huron for future organic growth and earnings improvement.</w:t>
            </w:r>
          </w:p>
          <w:p>
            <w:pPr>
              <w:pStyle w:val="TableContents"/>
              <w:spacing w:before="0" w:after="0"/>
              <w:jc w:val="left"/>
              <w:rPr/>
            </w:pPr>
            <w:r>
              <w:rPr/>
              <w:t> </w:t>
            </w:r>
          </w:p>
          <w:p>
            <w:pPr>
              <w:pStyle w:val="TableContents"/>
              <w:spacing w:before="0" w:after="0"/>
              <w:jc w:val="both"/>
              <w:rPr>
                <w:rFonts w:ascii="arial" w:hAnsi="arial"/>
                <w:b/>
                <w:sz w:val="18"/>
              </w:rPr>
            </w:pPr>
            <w:r>
              <w:rPr>
                <w:rFonts w:ascii="arial" w:hAnsi="arial"/>
                <w:b/>
                <w:sz w:val="18"/>
              </w:rPr>
              <w:t>Navigating Disruption3</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Hurons total annual revenues declined 3.7% to $844 million in 2020 over the prior year amidst the significant impacts the pandemic has had on our client base, particularly in the Healthcare and Education segments. Our Business Advisory segment achieved record revenues in 2020, driven by increased demand for our cloud-based technology, digital, analytics and distressed advisory offerings as organizations transform their businesses to compete in more disruptive environments. The strategic investments we have made in the Business Advisory segment are accelerating our growth in commercial markets, enabling a balanced portfolio across our services and end markets. Driven by the decline in revenue, adjusted EBITDA margin was 10.3% in 2020 compared to 12.0% in the prior year period, and adjusted diluted earnings per share from continuing operations was $2.15 in 2020 compared to $2.74 in 2019.</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In response to the pandemic, management took swift action to stabilize our financial position with an intense focus on liquidity, including reducing our operating and capital expenditures, closely managing our receivables, collections and our payments to vendors, and cutting costs. Throughout 2020, we did not see a material degradation in our cash collections and achieved operating cash flow of $137 million in 2020 compared to $132 million in 2019. Looking longer term, we used cash generated from operations to fund investments we believe will fuel our future growth, including new hires, acquisitions of complementary businesses and other capital-related expenditures.</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In addition, we proactively supported our employees to ensure they were safe, healthy, engaged and productive. We shifted to a remote workforce in mid-March. Since then, we broadened the benefits available to our employees, including offerings related to mental health and well-being as well as caregiver resources and provided additional resources to ensure our people were equipped to work in a virtual environment. Because of our efforts, throughout 2020 we consistently maintained employee engagement scores that well exceeded the global norm.</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In return, our employees took great care of our clients, innovated new offerings and positioned the Company for a return to growth. In 2020, nearly 3.5% of our total company revenues were generated by new services that did not exist prior to the onset of the COVID-19 pandemic. The challenges confronted by our clients across multiple industries, but especially those in healthcare, education and consumer services, have only been exacerbated by the ongoing pandemic, and we are well-positioned to address opportunities to reinvigorate our clients as the impacts of the pandemic are eventually brought under control.</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6"/>
        <w:gridCol w:w="9999"/>
      </w:tblGrid>
      <w:tr>
        <w:trPr/>
        <w:tc>
          <w:tcPr>
            <w:tcW w:w="206" w:type="dxa"/>
            <w:tcBorders/>
            <w:shd w:fill="auto" w:val="clear"/>
          </w:tcPr>
          <w:p>
            <w:pPr>
              <w:pStyle w:val="TableContents"/>
              <w:spacing w:before="0" w:after="283"/>
              <w:jc w:val="left"/>
              <w:rPr>
                <w:i/>
              </w:rPr>
            </w:pPr>
            <w:r>
              <w:rPr>
                <w:i/>
              </w:rPr>
              <w:t>3 </w:t>
            </w:r>
          </w:p>
        </w:tc>
        <w:tc>
          <w:tcPr>
            <w:tcW w:w="9999" w:type="dxa"/>
            <w:tcBorders/>
            <w:shd w:fill="auto" w:val="clear"/>
          </w:tcPr>
          <w:p>
            <w:pPr>
              <w:pStyle w:val="TableContents"/>
              <w:spacing w:before="0" w:after="0"/>
              <w:jc w:val="both"/>
              <w:rPr>
                <w:rFonts w:ascii="arial" w:hAnsi="arial"/>
                <w:i/>
                <w:sz w:val="13"/>
              </w:rPr>
            </w:pPr>
            <w:r>
              <w:rPr>
                <w:rFonts w:ascii="arial" w:hAnsi="arial"/>
                <w:i/>
                <w:sz w:val="13"/>
              </w:rPr>
              <w:t xml:space="preserve">In the discussion of the Companys 2020 performance, the Compensation Committee discusses certain of Hurons results of operations using non-GAAP financial measures, which are discussed in the Companys Annual Report on Form 10-K for the year ended December 31, 2020 (the 2020 Annual Report on Form 10-K), Item 7, Managements Discussion and Analysis of Financial Condition and Results of Operations under the subheading Non-GAAP Measures. These non-GAAP financial measures include adjusted EBITDA, adjusted EBITDA margin, adjusted net income from continuing operations, and adjusted diluted earnings per share (EPS) from continuing operations. EBITDA is defined as net income (loss) from continuing operations before interest, income tax expense and depreciation and amortization. Adjusted EBITDA represents EBITDA as adjusted by adding back restructuring and other charges, litigation and other gains and losses, transaction-related expenses, goodwill impairment charges, other non-operating income and expenses, and foreign currency transaction gains and losses. Adjusted EBITDA margin is adjusted EBITDA expressed as a percentage of revenues before reimbursable expenses. Adjusted diluted EPS from continuing operations is defined as diluted earnings (loss) per share from continuing operations adjusted by adding back the same items as adjusted EBITDA, excluding foreign currency transaction gains and losses, as well as amortization of intangible assets and non-cash interest on convertible notes, all on a tax effected basis, and one-time tax benefits.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auto" w:val="clear"/>
          </w:tcPr>
          <w:p>
            <w:pPr>
              <w:pStyle w:val="TableContents"/>
              <w:spacing w:before="0" w:after="0"/>
              <w:rPr/>
            </w:pPr>
            <w:r>
              <w:rPr/>
              <w:t> </w:t>
            </w:r>
          </w:p>
          <w:p>
            <w:pPr>
              <w:pStyle w:val="TableContents"/>
              <w:spacing w:before="0" w:after="0"/>
              <w:jc w:val="both"/>
              <w:rPr>
                <w:rFonts w:ascii="arial" w:hAnsi="arial"/>
                <w:b/>
                <w:sz w:val="18"/>
              </w:rPr>
            </w:pPr>
            <w:r>
              <w:rPr>
                <w:rFonts w:ascii="arial" w:hAnsi="arial"/>
                <w:b/>
                <w:sz w:val="18"/>
              </w:rPr>
              <w:t>Building for the Future</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In 2020, we continued to execute against our enterprise-wide strategy to drive sustainable organic growth and margin expansion. We invested in areas of our business focused on growth, collaboration and efficiency, including investing in new service lines to strengthen and expand our offerings and the internal system infrastructure to support our strategic objectives. We also continued to evolve our enterprise-wide planning process and investment allocation strategy to accelerate our ability to execute and more aggressively strengthen our competitive position, including through the thoughtful deployment of capital with the tuck-in acquisition of ForceIQ, a leading Salesforce Industries partner focused on serving the healthcare payer market.</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In order to achieve our vision and drive shareholder value over the long term, we must also invest in our people, our communities and the environment. Beyond the work we do across our service platform with our mission-driven clients, we refocused our corporate social responsibility efforts to align with five of the United Nations Sustainable Development Goals (SDGs): promoting good health and well-being, quality education, gender equality, decent work and economic growth and climate action. We have and will continue to support these goals through our client work, Huron Helping Hands program, employee resource groups and corporate partnerships. To learn more about our corporate social responsibility efforts, please visit our website at: https://ir.huronconsultinggroup.com/corporatesustainability to read our 2020 Corporate Social Responsibility (CSR) report. We have also taken the next step to provide more quantitative and qualitative measurements in our Sustainability Accounting Standards Board (SASB) addendum to the CSR report.</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sz w:val="18"/>
              </w:rPr>
              <w:t>The events and calamities of 2020 have underscored the critical role we all play in supporting each other, embracing our differences and working together to solve our global challenges. While uncertainties remain in the near term, we remain confident in:</w:t>
            </w:r>
          </w:p>
          <w:p>
            <w:pPr>
              <w:pStyle w:val="TableContents"/>
              <w:spacing w:before="0" w:after="0"/>
              <w:jc w:val="left"/>
              <w:rPr/>
            </w:pPr>
            <w:r>
              <w:rPr/>
              <w:t> </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  Our long-term growth strategy focused on addressing our clients most pressing challenges;</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  Our ability to adjust to evolving market conditions;</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  The depth of our industry expertise and breadth of our offerings; and</w:t>
            </w:r>
          </w:p>
          <w:p>
            <w:pPr>
              <w:pStyle w:val="TableContents"/>
              <w:spacing w:before="0" w:after="0"/>
              <w:jc w:val="both"/>
              <w:rPr>
                <w:rFonts w:ascii="arial" w:hAnsi="arial"/>
                <w:sz w:val="18"/>
              </w:rPr>
            </w:pPr>
            <w:r>
              <w:rPr>
                <w:rFonts w:ascii="arial" w:hAnsi="arial"/>
                <w:color w:val="00548B"/>
                <w:sz w:val="18"/>
              </w:rPr>
              <w:t></w:t>
            </w:r>
            <w:r>
              <w:rPr>
                <w:rFonts w:ascii="arial" w:hAnsi="arial"/>
                <w:sz w:val="18"/>
              </w:rPr>
              <w:t>  Our mission-driven team and collaborative culture that sits at the heart of our company.</w:t>
            </w:r>
          </w:p>
          <w:p>
            <w:pPr>
              <w:pStyle w:val="TableContents"/>
              <w:spacing w:before="0" w:after="0"/>
              <w:jc w:val="left"/>
              <w:rPr/>
            </w:pPr>
            <w:r>
              <w:rPr/>
              <w:t> </w:t>
            </w:r>
          </w:p>
          <w:p>
            <w:pPr>
              <w:pStyle w:val="TableContents"/>
              <w:spacing w:before="0" w:after="20"/>
              <w:jc w:val="both"/>
              <w:rPr>
                <w:rFonts w:ascii="arial" w:hAnsi="arial"/>
                <w:sz w:val="18"/>
              </w:rPr>
            </w:pPr>
            <w:r>
              <w:rPr>
                <w:rFonts w:ascii="arial" w:hAnsi="arial"/>
                <w:sz w:val="18"/>
              </w:rPr>
              <w:t>These attributes, coupled with the significant disruption facing our clients and end markets, provide opportunities to continue to innovate for our clients and transform their business to address the evolving environment.</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0548B" w:val="clear"/>
          </w:tcPr>
          <w:p>
            <w:pPr>
              <w:pStyle w:val="TableContents"/>
              <w:spacing w:before="0" w:after="0"/>
              <w:rPr/>
            </w:pPr>
            <w:r>
              <w:rPr/>
              <w:t> </w:t>
            </w:r>
          </w:p>
          <w:p>
            <w:pPr>
              <w:pStyle w:val="TableContents"/>
              <w:spacing w:before="0" w:after="0"/>
              <w:jc w:val="center"/>
              <w:rPr>
                <w:rFonts w:ascii="ARIAL" w:hAnsi="ARIAL"/>
                <w:color w:val="E5E5E5"/>
                <w:sz w:val="20"/>
              </w:rPr>
            </w:pPr>
            <w:r>
              <w:rPr>
                <w:rFonts w:ascii="ARIAL" w:hAnsi="ARIAL"/>
                <w:color w:val="E5E5E5"/>
                <w:sz w:val="20"/>
              </w:rPr>
              <w:t>COVID-19 Consideration on NEO Compensation</w:t>
            </w:r>
          </w:p>
          <w:p>
            <w:pPr>
              <w:pStyle w:val="TableContents"/>
              <w:spacing w:before="0" w:after="20"/>
              <w:jc w:val="left"/>
              <w:rPr/>
            </w:pPr>
            <w:r>
              <w:rPr/>
              <w:t> </w:t>
            </w:r>
          </w:p>
        </w:tc>
      </w:tr>
      <w:tr>
        <w:trPr/>
        <w:tc>
          <w:tcPr>
            <w:tcW w:w="10205" w:type="dxa"/>
            <w:tcBorders/>
            <w:shd w:fill="auto" w:val="clear"/>
          </w:tcPr>
          <w:p>
            <w:pPr>
              <w:pStyle w:val="TableContents"/>
              <w:spacing w:before="0" w:after="0"/>
              <w:rPr/>
            </w:pPr>
            <w:r>
              <w:rPr/>
              <w:t> </w:t>
            </w:r>
          </w:p>
          <w:p>
            <w:pPr>
              <w:pStyle w:val="TableContents"/>
              <w:spacing w:before="0" w:after="20"/>
              <w:jc w:val="both"/>
              <w:rPr>
                <w:rFonts w:ascii="arial" w:hAnsi="arial"/>
                <w:sz w:val="18"/>
              </w:rPr>
            </w:pPr>
            <w:r>
              <w:rPr>
                <w:rFonts w:ascii="arial" w:hAnsi="arial"/>
                <w:sz w:val="18"/>
              </w:rPr>
              <w:t>Fiscal year 2020 goals for our NEOs were initially set in February 2020, prior to the onset of the COVID-19 pandemic, at which time the Company started the year strong, demonstrated by its solid performance in the first quarter. Given the duration and severity of the pandemic, our clients businesses were deeply impacted, which had a direct, negative impact on our 2020 revenues and margin. However, the long-term fundamentals of our business remain strong and we believe we are well-positioned strategically, financially and operationally, to respond to the market opportunities that will result from the ongoing pandemic. The Compensation Committee assessed the unprecedented impact of the pandemic, overall Company performance, individual contributions, and the preservation of shareholder value when determining actual payout results for 2020. As discussed in more detail below in NEO 2020 Compensation, the Committee took a holistic approach to its assessment of NEO pay and: 1) did not make any changes to outstanding long-term incentive awards, 2) reprioritized Strategic Measures when determining annual incentive award payouts and 3) chose to fund modest NEO cash bonus awards to align the NEOs with other corporate team members. The plan design for 2020 aligned NEO interests with those of the shareholders by having a significant portion of NEO compensation as performance-based and at-risk. The table below illustrates the 2020 target mix of pay for the NEOs.</w:t>
            </w:r>
          </w:p>
        </w:tc>
      </w:tr>
    </w:tbl>
    <w:p>
      <w:pPr>
        <w:pStyle w:val="TextBody"/>
        <w:spacing w:before="0" w:after="0"/>
        <w:jc w:val="left"/>
        <w:rPr/>
      </w:pPr>
      <w:r>
        <w:rPr/>
        <w:t> </w:t>
      </w:r>
    </w:p>
    <w:p>
      <w:pPr>
        <w:pStyle w:val="TextBody"/>
        <w:spacing w:before="0" w:after="0"/>
        <w:jc w:val="center"/>
        <w:rPr/>
      </w:pPr>
      <w:r>
        <w:rPr/>
        <w:drawing>
          <wp:inline distT="0" distB="0" distL="0" distR="0">
            <wp:extent cx="490220" cy="295910"/>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embed="rId24"/>
                    <a:stretch>
                      <a:fillRect/>
                    </a:stretch>
                  </pic:blipFill>
                  <pic:spPr bwMode="auto">
                    <a:xfrm>
                      <a:off x="0" y="0"/>
                      <a:ext cx="490220" cy="295910"/>
                    </a:xfrm>
                    <a:prstGeom prst="rect">
                      <a:avLst/>
                    </a:prstGeom>
                  </pic:spPr>
                </pic:pic>
              </a:graphicData>
            </a:graphic>
          </wp:inline>
        </w:drawing>
      </w:r>
      <w:r>
        <w:rPr/>
        <w:t xml:space="preserve"> </w:t>
      </w:r>
    </w:p>
    <w:p>
      <w:pPr>
        <w:pStyle w:val="TextBody"/>
        <w:spacing w:before="200" w:after="0"/>
        <w:jc w:val="both"/>
        <w:rPr>
          <w:rFonts w:ascii="arial" w:hAnsi="arial"/>
          <w:b/>
          <w:i/>
          <w:sz w:val="18"/>
        </w:rPr>
      </w:pPr>
      <w:r>
        <w:rPr>
          <w:rFonts w:ascii="arial" w:hAnsi="arial"/>
          <w:b/>
          <w:i/>
          <w:sz w:val="18"/>
        </w:rPr>
        <w:t xml:space="preserve">Realizable Pay </w:t>
      </w:r>
    </w:p>
    <w:p>
      <w:pPr>
        <w:pStyle w:val="TextBody"/>
        <w:spacing w:before="120" w:after="0"/>
        <w:jc w:val="both"/>
        <w:rPr>
          <w:rFonts w:ascii="arial" w:hAnsi="arial"/>
          <w:sz w:val="18"/>
        </w:rPr>
      </w:pPr>
      <w:r>
        <w:rPr>
          <w:rFonts w:ascii="arial" w:hAnsi="arial"/>
          <w:sz w:val="18"/>
        </w:rPr>
        <w:t xml:space="preserve">Our executive compensation program is directly aligned with shareholder value. This alignment is clearly evident when comparing the target pay to the realizable pay of our NEOs. The graph below illustrates the target compensation opportunity provided to Mr. Roth from 2016-2020, the compensation he has earned, and the equity compensation he still has the potential to earn from awards granted from 2016-2020. The realizable compensation values are compared with our TSR performance over the same period.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Realizable pay includes salary, actual annual incentive earned, and equity incentives earned or remaining eligible to be earned, valued at the December 31, 2020 share price. Seventy percent of our NEOs Long-Term Incentive (LTI) opportunity is at-risk. Beginning with the LTI grants in 2018, these at-risk awards are only eligible to be earned if the Company achieves rigorous predetermined Adjusted Diluted EPS and Revenue Growth goals over a full three-year performance period. 2018, 2019 and 2020 at-risk LTI is eligible to be earned after the completion of the 2018-2020, 2019-2021 and 2020-2022 performance cycles, respectively, based on actual results. The value of these awards will depend on the portion, if any, earned and the share price at that time. </w:t>
      </w:r>
    </w:p>
    <w:p>
      <w:pPr>
        <w:pStyle w:val="TextBody"/>
        <w:spacing w:before="0" w:after="0"/>
        <w:jc w:val="left"/>
        <w:rPr/>
      </w:pPr>
      <w:r>
        <w:rPr/>
        <w:t> </w:t>
      </w:r>
    </w:p>
    <w:p>
      <w:pPr>
        <w:pStyle w:val="TextBody"/>
        <w:spacing w:before="0" w:after="0"/>
        <w:jc w:val="left"/>
        <w:rPr/>
      </w:pPr>
      <w:r>
        <w:rPr/>
        <w:t> </w:t>
      </w:r>
    </w:p>
    <w:p>
      <w:pPr>
        <w:pStyle w:val="TextBody"/>
        <w:spacing w:before="0" w:after="0"/>
        <w:jc w:val="center"/>
        <w:rPr/>
      </w:pPr>
      <w:r>
        <w:rPr/>
        <w:drawing>
          <wp:inline distT="0" distB="0" distL="0" distR="0">
            <wp:extent cx="578485" cy="18859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embed="rId25"/>
                    <a:stretch>
                      <a:fillRect/>
                    </a:stretch>
                  </pic:blipFill>
                  <pic:spPr bwMode="auto">
                    <a:xfrm>
                      <a:off x="0" y="0"/>
                      <a:ext cx="578485" cy="188595"/>
                    </a:xfrm>
                    <a:prstGeom prst="rect">
                      <a:avLst/>
                    </a:prstGeom>
                  </pic:spPr>
                </pic:pic>
              </a:graphicData>
            </a:graphic>
          </wp:inline>
        </w:drawing>
      </w:r>
      <w:r>
        <w:rPr/>
        <w:t xml:space="preserv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Target Pay reflects the sum of the target compensation levels, including base salary, target annual incentive and the grant date fair value of equity provided in 2016, 2017, 2018, 2019 and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(2)</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Realizable Pay reflects the sum of actual base salary paid, actual annual incentive paid, and the value of LTI awards granted in 2016, 2017, 2018, 2019 and 2020. All equity is valued at the $58.95 share price as of 12/31/20. Specifically for the PSUs: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(a)</w:t>
            </w:r>
          </w:p>
        </w:tc>
        <w:tc>
          <w:tcPr>
            <w:tcW w:w="9187" w:type="dxa"/>
            <w:tcBorders/>
            <w:shd w:fill="auto" w:val="clear"/>
          </w:tcPr>
          <w:p>
            <w:pPr>
              <w:pStyle w:val="TableContents"/>
              <w:spacing w:before="0" w:after="0"/>
              <w:jc w:val="both"/>
              <w:rPr>
                <w:rFonts w:ascii="arial" w:hAnsi="arial"/>
                <w:sz w:val="18"/>
              </w:rPr>
            </w:pPr>
            <w:r>
              <w:rPr>
                <w:rFonts w:ascii="arial" w:hAnsi="arial"/>
                <w:sz w:val="18"/>
              </w:rPr>
              <w:t xml:space="preserve">The performance-based awards granted in 2016 had two tranches. The 2016 tranche vested at 55%. The second tranche was forfeited, resulting in a total payout of 25% of the target award value.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508"/>
        <w:gridCol w:w="9189"/>
      </w:tblGrid>
      <w:tr>
        <w:trPr/>
        <w:tc>
          <w:tcPr>
            <w:tcW w:w="5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(b)</w:t>
            </w:r>
          </w:p>
        </w:tc>
        <w:tc>
          <w:tcPr>
            <w:tcW w:w="9189" w:type="dxa"/>
            <w:tcBorders/>
            <w:shd w:fill="auto" w:val="clear"/>
          </w:tcPr>
          <w:p>
            <w:pPr>
              <w:pStyle w:val="TableContents"/>
              <w:spacing w:before="0" w:after="0"/>
              <w:jc w:val="both"/>
              <w:rPr>
                <w:rFonts w:ascii="arial" w:hAnsi="arial"/>
                <w:sz w:val="18"/>
              </w:rPr>
            </w:pPr>
            <w:r>
              <w:rPr>
                <w:rFonts w:ascii="arial" w:hAnsi="arial"/>
                <w:sz w:val="18"/>
              </w:rPr>
              <w:t xml:space="preserve">The performance-based awards granted in 2017 were unearned and forfeited.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(c)</w:t>
            </w:r>
          </w:p>
        </w:tc>
        <w:tc>
          <w:tcPr>
            <w:tcW w:w="9187" w:type="dxa"/>
            <w:tcBorders/>
            <w:shd w:fill="auto" w:val="clear"/>
          </w:tcPr>
          <w:p>
            <w:pPr>
              <w:pStyle w:val="TableContents"/>
              <w:spacing w:before="0" w:after="0"/>
              <w:jc w:val="both"/>
              <w:rPr>
                <w:rFonts w:ascii="arial" w:hAnsi="arial"/>
                <w:sz w:val="18"/>
              </w:rPr>
            </w:pPr>
            <w:r>
              <w:rPr>
                <w:rFonts w:ascii="arial" w:hAnsi="arial"/>
                <w:sz w:val="18"/>
              </w:rPr>
              <w:t xml:space="preserve">The 2018-2020 performance-based awards were earned at 102% of target.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508"/>
        <w:gridCol w:w="9189"/>
      </w:tblGrid>
      <w:tr>
        <w:trPr/>
        <w:tc>
          <w:tcPr>
            <w:tcW w:w="508" w:type="dxa"/>
            <w:tcBorders/>
            <w:shd w:fill="auto" w:val="clear"/>
            <w:vAlign w:val="center"/>
          </w:tcPr>
          <w:p>
            <w:pPr>
              <w:pStyle w:val="TableContents"/>
              <w:spacing w:before="0" w:after="283"/>
              <w:rPr/>
            </w:pPr>
            <w:r>
              <w:rPr/>
              <w:t> </w:t>
            </w:r>
          </w:p>
        </w:tc>
        <w:tc>
          <w:tcPr>
            <w:tcW w:w="508" w:type="dxa"/>
            <w:tcBorders/>
            <w:shd w:fill="auto" w:val="clear"/>
          </w:tcPr>
          <w:p>
            <w:pPr>
              <w:pStyle w:val="TableContents"/>
              <w:spacing w:before="0" w:after="283"/>
              <w:jc w:val="left"/>
              <w:rPr/>
            </w:pPr>
            <w:r>
              <w:rPr/>
              <w:t>(d)</w:t>
            </w:r>
          </w:p>
        </w:tc>
        <w:tc>
          <w:tcPr>
            <w:tcW w:w="9189" w:type="dxa"/>
            <w:tcBorders/>
            <w:shd w:fill="auto" w:val="clear"/>
          </w:tcPr>
          <w:p>
            <w:pPr>
              <w:pStyle w:val="TableContents"/>
              <w:spacing w:before="0" w:after="0"/>
              <w:jc w:val="both"/>
              <w:rPr>
                <w:rFonts w:ascii="arial" w:hAnsi="arial"/>
                <w:sz w:val="18"/>
              </w:rPr>
            </w:pPr>
            <w:r>
              <w:rPr>
                <w:rFonts w:ascii="arial" w:hAnsi="arial"/>
                <w:sz w:val="18"/>
              </w:rPr>
              <w:t xml:space="preserve">The 2019-2021 performance-based awards are assumed at 67% of target, which is the level of performance at which these awards were tracking as of 12/31/20.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509"/>
        <w:gridCol w:w="9187"/>
      </w:tblGrid>
      <w:tr>
        <w:trPr/>
        <w:tc>
          <w:tcPr>
            <w:tcW w:w="509" w:type="dxa"/>
            <w:tcBorders/>
            <w:shd w:fill="auto" w:val="clear"/>
            <w:vAlign w:val="center"/>
          </w:tcPr>
          <w:p>
            <w:pPr>
              <w:pStyle w:val="TableContents"/>
              <w:spacing w:before="0" w:after="283"/>
              <w:rPr/>
            </w:pPr>
            <w:r>
              <w:rPr/>
              <w:t> </w:t>
            </w:r>
          </w:p>
        </w:tc>
        <w:tc>
          <w:tcPr>
            <w:tcW w:w="509" w:type="dxa"/>
            <w:tcBorders/>
            <w:shd w:fill="auto" w:val="clear"/>
          </w:tcPr>
          <w:p>
            <w:pPr>
              <w:pStyle w:val="TableContents"/>
              <w:spacing w:before="0" w:after="283"/>
              <w:jc w:val="left"/>
              <w:rPr/>
            </w:pPr>
            <w:r>
              <w:rPr/>
              <w:t>(e)</w:t>
            </w:r>
          </w:p>
        </w:tc>
        <w:tc>
          <w:tcPr>
            <w:tcW w:w="9187" w:type="dxa"/>
            <w:tcBorders/>
            <w:shd w:fill="auto" w:val="clear"/>
          </w:tcPr>
          <w:p>
            <w:pPr>
              <w:pStyle w:val="TableContents"/>
              <w:spacing w:before="0" w:after="0"/>
              <w:jc w:val="both"/>
              <w:rPr>
                <w:rFonts w:ascii="arial" w:hAnsi="arial"/>
                <w:sz w:val="18"/>
              </w:rPr>
            </w:pPr>
            <w:r>
              <w:rPr>
                <w:rFonts w:ascii="arial" w:hAnsi="arial"/>
                <w:sz w:val="18"/>
              </w:rPr>
              <w:t xml:space="preserve">The 2020-2022 performance-based awards are assumed at target because there are two years remaining in the performance cycle, and the outcome is uncertain. In order for these awards to be earned, the Company must achieve significant growth in Adjusted Diluted EPS and Revenue that the Committee approved prior to the onset of the COVID-19 pandemic.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0205" w:type="dxa"/>
            <w:tcBorders>
              <w:top w:val="single" w:sz="2" w:space="0" w:color="00548B"/>
              <w:left w:val="single" w:sz="2" w:space="0" w:color="00548B"/>
              <w:right w:val="single" w:sz="2" w:space="0" w:color="00548B"/>
            </w:tcBorders>
            <w:shd w:fill="00548B" w:val="clear"/>
            <w:tcMar>
              <w:top w:w="28" w:type="dxa"/>
              <w:left w:w="160" w:type="dxa"/>
              <w:right w:w="28" w:type="dxa"/>
            </w:tcMar>
            <w:vAlign w:val="center"/>
          </w:tcPr>
          <w:p>
            <w:pPr>
              <w:pStyle w:val="TableContents"/>
              <w:spacing w:before="0" w:after="283"/>
              <w:rPr/>
            </w:pPr>
            <w:r>
              <w:rPr/>
              <w:t> </w:t>
            </w:r>
          </w:p>
        </w:tc>
      </w:tr>
      <w:tr>
        <w:trPr/>
        <w:tc>
          <w:tcPr>
            <w:tcW w:w="10205" w:type="dxa"/>
            <w:tcBorders>
              <w:left w:val="single" w:sz="2" w:space="0" w:color="00548B"/>
              <w:bottom w:val="single" w:sz="2" w:space="0" w:color="00548B"/>
              <w:right w:val="single" w:sz="2" w:space="0" w:color="00548B"/>
            </w:tcBorders>
            <w:shd w:fill="00548B" w:val="clear"/>
            <w:tcMar>
              <w:left w:w="160" w:type="dxa"/>
              <w:bottom w:w="28" w:type="dxa"/>
              <w:right w:w="40" w:type="dxa"/>
            </w:tcMar>
            <w:vAlign w:val="center"/>
          </w:tcPr>
          <w:p>
            <w:pPr>
              <w:pStyle w:val="TableContents"/>
              <w:spacing w:before="0" w:after="0"/>
              <w:rPr/>
            </w:pPr>
            <w:r>
              <w:rPr/>
              <w:t> </w:t>
            </w:r>
          </w:p>
          <w:p>
            <w:pPr>
              <w:pStyle w:val="TableContents"/>
              <w:spacing w:before="0" w:after="0"/>
              <w:jc w:val="center"/>
              <w:rPr>
                <w:rFonts w:ascii="arial" w:hAnsi="arial"/>
                <w:b/>
                <w:color w:val="D8D8D8"/>
                <w:sz w:val="20"/>
              </w:rPr>
            </w:pPr>
            <w:r>
              <w:rPr>
                <w:rFonts w:ascii="arial" w:hAnsi="arial"/>
                <w:b/>
                <w:color w:val="D8D8D8"/>
                <w:sz w:val="20"/>
              </w:rPr>
              <w:t>SECTION 2 - COMPENSATION PROGRAM OVERVIEW</w:t>
            </w:r>
          </w:p>
          <w:p>
            <w:pPr>
              <w:pStyle w:val="TableContents"/>
              <w:spacing w:before="0" w:after="20"/>
              <w:jc w:val="left"/>
              <w:rPr/>
            </w:pPr>
            <w:r>
              <w:rPr/>
              <w:t> </w:t>
            </w:r>
          </w:p>
        </w:tc>
      </w:tr>
    </w:tbl>
    <w:p>
      <w:pPr>
        <w:pStyle w:val="TextBody"/>
        <w:spacing w:before="200" w:after="0"/>
        <w:jc w:val="both"/>
        <w:rPr>
          <w:rFonts w:ascii="arial" w:hAnsi="arial"/>
          <w:sz w:val="18"/>
        </w:rPr>
      </w:pPr>
      <w:r>
        <w:rPr>
          <w:rFonts w:ascii="arial" w:hAnsi="arial"/>
          <w:sz w:val="18"/>
        </w:rPr>
        <w:t xml:space="preserve">Hurons executive compensation program is structured to align executive pay with Company performance. We strive to provide compensation to motivate and reward performance that is in the long-term best interests of our shareholders. We define performance as a blend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305"/>
        <w:gridCol w:w="101"/>
        <w:gridCol w:w="9289"/>
      </w:tblGrid>
      <w:tr>
        <w:trPr/>
        <w:tc>
          <w:tcPr>
            <w:tcW w:w="510"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00548B"/>
              </w:rPr>
            </w:pPr>
            <w:r>
              <w:rPr>
                <w:color w:val="00548B"/>
              </w:rPr>
              <w:t></w:t>
            </w:r>
          </w:p>
        </w:tc>
        <w:tc>
          <w:tcPr>
            <w:tcW w:w="101"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arial" w:hAnsi="arial"/>
                <w:sz w:val="18"/>
              </w:rPr>
            </w:pPr>
            <w:r>
              <w:rPr>
                <w:rFonts w:ascii="arial" w:hAnsi="arial"/>
                <w:sz w:val="18"/>
              </w:rPr>
              <w:t xml:space="preserve">Delivering value to shareholders; </w:t>
            </w:r>
          </w:p>
        </w:tc>
      </w:tr>
    </w:tbl>
    <w:tbl>
      <w:tblPr>
        <w:tblW w:w="5000" w:type="pct"/>
        <w:jc w:val="left"/>
        <w:tblInd w:w="0" w:type="dxa"/>
        <w:tblCellMar>
          <w:top w:w="0" w:type="dxa"/>
          <w:left w:w="0" w:type="dxa"/>
          <w:bottom w:w="0" w:type="dxa"/>
          <w:right w:w="0" w:type="dxa"/>
        </w:tblCellMar>
      </w:tblPr>
      <w:tblGrid>
        <w:gridCol w:w="509"/>
        <w:gridCol w:w="305"/>
        <w:gridCol w:w="102"/>
        <w:gridCol w:w="9289"/>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00548B"/>
              </w:rPr>
            </w:pPr>
            <w:r>
              <w:rPr>
                <w:color w:val="00548B"/>
              </w:rPr>
              <w:t></w:t>
            </w:r>
          </w:p>
        </w:tc>
        <w:tc>
          <w:tcPr>
            <w:tcW w:w="102" w:type="dxa"/>
            <w:tcBorders/>
            <w:shd w:fill="auto" w:val="clear"/>
          </w:tcPr>
          <w:p>
            <w:pPr>
              <w:pStyle w:val="TableContents"/>
              <w:spacing w:before="0" w:after="283"/>
              <w:rPr/>
            </w:pPr>
            <w:r>
              <w:rPr/>
              <w:t> </w:t>
            </w:r>
          </w:p>
        </w:tc>
        <w:tc>
          <w:tcPr>
            <w:tcW w:w="9289" w:type="dxa"/>
            <w:tcBorders/>
            <w:shd w:fill="auto" w:val="clear"/>
          </w:tcPr>
          <w:p>
            <w:pPr>
              <w:pStyle w:val="TableContents"/>
              <w:spacing w:before="0" w:after="0"/>
              <w:jc w:val="both"/>
              <w:rPr>
                <w:rFonts w:ascii="arial" w:hAnsi="arial"/>
                <w:sz w:val="18"/>
              </w:rPr>
            </w:pPr>
            <w:r>
              <w:rPr>
                <w:rFonts w:ascii="arial" w:hAnsi="arial"/>
                <w:sz w:val="18"/>
              </w:rPr>
              <w:t xml:space="preserve">Achieving financial performance in comparison to pre-established financial goals; and </w:t>
            </w:r>
          </w:p>
        </w:tc>
      </w:tr>
    </w:tbl>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00548B"/>
              </w:rPr>
            </w:pPr>
            <w:r>
              <w:rPr>
                <w:color w:val="00548B"/>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arial" w:hAnsi="arial"/>
                <w:sz w:val="18"/>
              </w:rPr>
            </w:pPr>
            <w:r>
              <w:rPr>
                <w:rFonts w:ascii="arial" w:hAnsi="arial"/>
                <w:sz w:val="18"/>
              </w:rPr>
              <w:t xml:space="preserve">Attaining strategic initiatives that we believe are responsive to changing conditions and critical to future value creation.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90"/>
        <w:gridCol w:w="118"/>
        <w:gridCol w:w="4837"/>
        <w:gridCol w:w="118"/>
        <w:gridCol w:w="173"/>
        <w:gridCol w:w="118"/>
        <w:gridCol w:w="4551"/>
      </w:tblGrid>
      <w:tr>
        <w:trPr/>
        <w:tc>
          <w:tcPr>
            <w:tcW w:w="290"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4837"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173" w:type="dxa"/>
            <w:tcBorders/>
            <w:shd w:fill="auto" w:val="clear"/>
            <w:vAlign w:val="center"/>
          </w:tcPr>
          <w:p>
            <w:pPr>
              <w:pStyle w:val="TableContents"/>
              <w:spacing w:before="0" w:after="283"/>
              <w:rPr>
                <w:sz w:val="4"/>
                <w:szCs w:val="4"/>
              </w:rPr>
            </w:pPr>
            <w:r>
              <w:rPr>
                <w:sz w:val="4"/>
                <w:szCs w:val="4"/>
              </w:rPr>
            </w:r>
          </w:p>
        </w:tc>
        <w:tc>
          <w:tcPr>
            <w:tcW w:w="118" w:type="dxa"/>
            <w:tcBorders/>
            <w:shd w:fill="auto" w:val="clear"/>
            <w:vAlign w:val="bottom"/>
          </w:tcPr>
          <w:p>
            <w:pPr>
              <w:pStyle w:val="TableContents"/>
              <w:spacing w:before="0" w:after="283"/>
              <w:rPr>
                <w:sz w:val="4"/>
                <w:szCs w:val="4"/>
              </w:rPr>
            </w:pPr>
            <w:r>
              <w:rPr>
                <w:sz w:val="4"/>
                <w:szCs w:val="4"/>
              </w:rPr>
            </w:r>
          </w:p>
        </w:tc>
        <w:tc>
          <w:tcPr>
            <w:tcW w:w="4551" w:type="dxa"/>
            <w:tcBorders/>
            <w:shd w:fill="auto" w:val="clear"/>
            <w:vAlign w:val="center"/>
          </w:tcPr>
          <w:p>
            <w:pPr>
              <w:pStyle w:val="TableContents"/>
              <w:spacing w:before="0" w:after="283"/>
              <w:rPr>
                <w:sz w:val="4"/>
                <w:szCs w:val="4"/>
              </w:rPr>
            </w:pPr>
            <w:r>
              <w:rPr>
                <w:sz w:val="4"/>
                <w:szCs w:val="4"/>
              </w:rPr>
            </w:r>
          </w:p>
        </w:tc>
      </w:tr>
      <w:tr>
        <w:trPr/>
        <w:tc>
          <w:tcPr>
            <w:tcW w:w="290" w:type="dxa"/>
            <w:tcBorders>
              <w:top w:val="single" w:sz="2" w:space="0" w:color="00548B"/>
              <w:left w:val="single" w:sz="2" w:space="0" w:color="00548B"/>
            </w:tcBorders>
            <w:shd w:fill="00548B" w:val="clear"/>
            <w:tcMar>
              <w:top w:w="28" w:type="dxa"/>
              <w:left w:w="160" w:type="dxa"/>
            </w:tcMar>
            <w:vAlign w:val="bottom"/>
          </w:tcPr>
          <w:p>
            <w:pPr>
              <w:pStyle w:val="TableContents"/>
              <w:spacing w:before="0" w:after="283"/>
              <w:rPr/>
            </w:pPr>
            <w:r>
              <w:rPr/>
              <w:t>  </w:t>
            </w:r>
          </w:p>
        </w:tc>
        <w:tc>
          <w:tcPr>
            <w:tcW w:w="118" w:type="dxa"/>
            <w:tcBorders>
              <w:top w:val="single" w:sz="2" w:space="0" w:color="00548B"/>
              <w:left w:val="single" w:sz="2" w:space="0" w:color="999999"/>
            </w:tcBorders>
            <w:shd w:fill="00548B" w:val="clear"/>
            <w:tcMar>
              <w:top w:w="28" w:type="dxa"/>
              <w:left w:w="28" w:type="dxa"/>
            </w:tcMar>
            <w:vAlign w:val="bottom"/>
          </w:tcPr>
          <w:p>
            <w:pPr>
              <w:pStyle w:val="TableContents"/>
              <w:spacing w:before="0" w:after="283"/>
              <w:rPr/>
            </w:pPr>
            <w:r>
              <w:rPr/>
              <w:t> </w:t>
            </w:r>
          </w:p>
        </w:tc>
        <w:tc>
          <w:tcPr>
            <w:tcW w:w="4837" w:type="dxa"/>
            <w:tcBorders>
              <w:top w:val="single" w:sz="2" w:space="0" w:color="00548B"/>
              <w:right w:val="single" w:sz="2" w:space="0" w:color="999999"/>
            </w:tcBorders>
            <w:shd w:fill="00548B" w:val="clear"/>
            <w:tcMar>
              <w:top w:w="28" w:type="dxa"/>
              <w:right w:w="28" w:type="dxa"/>
            </w:tcMar>
            <w:vAlign w:val="bottom"/>
          </w:tcPr>
          <w:p>
            <w:pPr>
              <w:pStyle w:val="TableContents"/>
              <w:spacing w:before="0" w:after="0"/>
              <w:rPr/>
            </w:pPr>
            <w:r>
              <w:rPr/>
              <w:t> </w:t>
            </w:r>
          </w:p>
          <w:p>
            <w:pPr>
              <w:pStyle w:val="TableContents"/>
              <w:spacing w:before="0" w:after="0"/>
              <w:jc w:val="center"/>
              <w:rPr>
                <w:rFonts w:ascii="arial" w:hAnsi="arial"/>
                <w:b/>
                <w:color w:val="D8D8D8"/>
                <w:sz w:val="16"/>
              </w:rPr>
            </w:pPr>
            <w:r>
              <w:rPr>
                <w:rFonts w:ascii="arial" w:hAnsi="arial"/>
                <w:b/>
                <w:color w:val="D8D8D8"/>
                <w:sz w:val="16"/>
              </w:rPr>
              <w:t>What We Do</w:t>
            </w:r>
          </w:p>
          <w:p>
            <w:pPr>
              <w:pStyle w:val="TableContents"/>
              <w:spacing w:before="0" w:after="20"/>
              <w:jc w:val="left"/>
              <w:rPr/>
            </w:pPr>
            <w:r>
              <w:rPr/>
              <w:t> </w:t>
            </w:r>
          </w:p>
        </w:tc>
        <w:tc>
          <w:tcPr>
            <w:tcW w:w="118" w:type="dxa"/>
            <w:tcBorders>
              <w:top w:val="single" w:sz="2" w:space="0" w:color="00548B"/>
            </w:tcBorders>
            <w:shd w:fill="00548B" w:val="clear"/>
            <w:tcMar>
              <w:top w:w="28" w:type="dxa"/>
            </w:tcMar>
            <w:vAlign w:val="bottom"/>
          </w:tcPr>
          <w:p>
            <w:pPr>
              <w:pStyle w:val="TableContents"/>
              <w:spacing w:before="0" w:after="283"/>
              <w:rPr/>
            </w:pPr>
            <w:r>
              <w:rPr/>
              <w:t> </w:t>
            </w:r>
          </w:p>
        </w:tc>
        <w:tc>
          <w:tcPr>
            <w:tcW w:w="173" w:type="dxa"/>
            <w:tcBorders>
              <w:top w:val="single" w:sz="2" w:space="0" w:color="00548B"/>
            </w:tcBorders>
            <w:shd w:fill="00548B" w:val="clear"/>
            <w:tcMar>
              <w:top w:w="28" w:type="dxa"/>
            </w:tcMar>
            <w:vAlign w:val="bottom"/>
          </w:tcPr>
          <w:p>
            <w:pPr>
              <w:pStyle w:val="TableContents"/>
              <w:spacing w:before="0" w:after="283"/>
              <w:rPr/>
            </w:pPr>
            <w:r>
              <w:rPr/>
              <w:t>  </w:t>
            </w:r>
          </w:p>
        </w:tc>
        <w:tc>
          <w:tcPr>
            <w:tcW w:w="118" w:type="dxa"/>
            <w:tcBorders>
              <w:top w:val="single" w:sz="2" w:space="0" w:color="00548B"/>
              <w:left w:val="single" w:sz="2" w:space="0" w:color="999999"/>
            </w:tcBorders>
            <w:shd w:fill="00548B" w:val="clear"/>
            <w:tcMar>
              <w:top w:w="28" w:type="dxa"/>
              <w:left w:w="28" w:type="dxa"/>
            </w:tcMar>
            <w:vAlign w:val="bottom"/>
          </w:tcPr>
          <w:p>
            <w:pPr>
              <w:pStyle w:val="TableContents"/>
              <w:spacing w:before="0" w:after="283"/>
              <w:rPr/>
            </w:pPr>
            <w:r>
              <w:rPr/>
              <w:t> </w:t>
            </w:r>
          </w:p>
        </w:tc>
        <w:tc>
          <w:tcPr>
            <w:tcW w:w="4551" w:type="dxa"/>
            <w:tcBorders>
              <w:top w:val="single" w:sz="2" w:space="0" w:color="00548B"/>
              <w:right w:val="single" w:sz="2" w:space="0" w:color="00548B"/>
            </w:tcBorders>
            <w:shd w:fill="00548B" w:val="clear"/>
            <w:tcMar>
              <w:top w:w="28" w:type="dxa"/>
              <w:right w:w="40" w:type="dxa"/>
            </w:tcMar>
            <w:vAlign w:val="bottom"/>
          </w:tcPr>
          <w:p>
            <w:pPr>
              <w:pStyle w:val="TableContents"/>
              <w:spacing w:before="0" w:after="0"/>
              <w:rPr/>
            </w:pPr>
            <w:r>
              <w:rPr/>
              <w:t> </w:t>
            </w:r>
          </w:p>
          <w:p>
            <w:pPr>
              <w:pStyle w:val="TableContents"/>
              <w:spacing w:before="0" w:after="0"/>
              <w:jc w:val="center"/>
              <w:rPr>
                <w:rFonts w:ascii="arial" w:hAnsi="arial"/>
                <w:b/>
                <w:color w:val="D8D8D8"/>
                <w:sz w:val="16"/>
              </w:rPr>
            </w:pPr>
            <w:r>
              <w:rPr>
                <w:rFonts w:ascii="arial" w:hAnsi="arial"/>
                <w:b/>
                <w:color w:val="D8D8D8"/>
                <w:sz w:val="16"/>
              </w:rPr>
              <w:t>What We Do Not Do</w:t>
            </w:r>
          </w:p>
          <w:p>
            <w:pPr>
              <w:pStyle w:val="TableContents"/>
              <w:spacing w:before="0" w:after="20"/>
              <w:jc w:val="left"/>
              <w:rPr/>
            </w:pPr>
            <w:r>
              <w:rPr/>
              <w:t> </w:t>
            </w:r>
          </w:p>
        </w:tc>
      </w:tr>
      <w:tr>
        <w:trPr/>
        <w:tc>
          <w:tcPr>
            <w:tcW w:w="290" w:type="dxa"/>
            <w:tcBorders>
              <w:left w:val="single" w:sz="2" w:space="0" w:color="00548B"/>
              <w:bottom w:val="single" w:sz="2" w:space="0" w:color="999999"/>
            </w:tcBorders>
            <w:shd w:fill="auto" w:val="clear"/>
            <w:tcMar>
              <w:left w:w="160" w:type="dxa"/>
              <w:bottom w:w="28" w:type="dxa"/>
            </w:tcMar>
          </w:tcPr>
          <w:p>
            <w:pPr>
              <w:pStyle w:val="TableContents"/>
              <w:spacing w:before="0" w:after="283"/>
              <w:rPr>
                <w:color w:val="00548B"/>
              </w:rPr>
            </w:pPr>
            <w:r>
              <w:rPr>
                <w:color w:val="00548B"/>
              </w:rPr>
              <w:t>✓</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37" w:type="dxa"/>
            <w:tcBorders>
              <w:bottom w:val="single" w:sz="2" w:space="0" w:color="999999"/>
              <w:right w:val="single" w:sz="2" w:space="0" w:color="999999"/>
            </w:tcBorders>
            <w:shd w:fill="auto" w:val="clear"/>
            <w:tcMar>
              <w:bottom w:w="28" w:type="dxa"/>
              <w:right w:w="28" w:type="dxa"/>
            </w:tcMar>
          </w:tcPr>
          <w:p>
            <w:pPr>
              <w:pStyle w:val="TableContents"/>
              <w:spacing w:before="0" w:after="0"/>
              <w:jc w:val="both"/>
              <w:rPr>
                <w:rFonts w:ascii="arial" w:hAnsi="arial"/>
                <w:sz w:val="18"/>
              </w:rPr>
            </w:pPr>
            <w:r>
              <w:rPr>
                <w:rFonts w:ascii="arial" w:hAnsi="arial"/>
                <w:sz w:val="18"/>
              </w:rPr>
              <w:t>Provide competitive target pay opportunity - with a significant majority at-risk and based on objective financial performance measures</w:t>
            </w:r>
          </w:p>
        </w:tc>
        <w:tc>
          <w:tcPr>
            <w:tcW w:w="118" w:type="dxa"/>
            <w:tcBorders>
              <w:bottom w:val="single" w:sz="2" w:space="0" w:color="999999"/>
            </w:tcBorders>
            <w:shd w:fill="auto" w:val="clear"/>
            <w:tcMar>
              <w:bottom w:w="28" w:type="dxa"/>
            </w:tcMar>
            <w:vAlign w:val="bottom"/>
          </w:tcPr>
          <w:p>
            <w:pPr>
              <w:pStyle w:val="TableContents"/>
              <w:spacing w:before="0" w:after="283"/>
              <w:rPr/>
            </w:pPr>
            <w:r>
              <w:rPr/>
              <w:t> </w:t>
            </w:r>
          </w:p>
        </w:tc>
        <w:tc>
          <w:tcPr>
            <w:tcW w:w="173" w:type="dxa"/>
            <w:tcBorders>
              <w:bottom w:val="single" w:sz="2" w:space="0" w:color="999999"/>
            </w:tcBorders>
            <w:shd w:fill="auto" w:val="clear"/>
            <w:tcMar>
              <w:bottom w:w="28" w:type="dxa"/>
            </w:tcMar>
          </w:tcPr>
          <w:p>
            <w:pPr>
              <w:pStyle w:val="TableContents"/>
              <w:spacing w:before="0" w:after="283"/>
              <w:rPr>
                <w:rFonts w:ascii="WINGDINGS" w:hAnsi="WINGDINGS"/>
                <w:color w:val="00548B"/>
              </w:rPr>
            </w:pPr>
            <w:r>
              <w:rPr>
                <w:rFonts w:ascii="WINGDINGS" w:hAnsi="WINGDINGS"/>
                <w:color w:val="00548B"/>
              </w:rPr>
              <w:t>û</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551" w:type="dxa"/>
            <w:tcBorders>
              <w:bottom w:val="single" w:sz="2" w:space="0" w:color="999999"/>
              <w:right w:val="single" w:sz="2" w:space="0" w:color="00548B"/>
            </w:tcBorders>
            <w:shd w:fill="auto" w:val="clear"/>
            <w:tcMar>
              <w:bottom w:w="28" w:type="dxa"/>
              <w:right w:w="40" w:type="dxa"/>
            </w:tcMar>
          </w:tcPr>
          <w:p>
            <w:pPr>
              <w:pStyle w:val="TableContents"/>
              <w:spacing w:before="0" w:after="0"/>
              <w:jc w:val="both"/>
              <w:rPr>
                <w:rFonts w:ascii="arial" w:hAnsi="arial"/>
                <w:sz w:val="18"/>
              </w:rPr>
            </w:pPr>
            <w:r>
              <w:rPr>
                <w:rFonts w:ascii="arial" w:hAnsi="arial"/>
                <w:sz w:val="18"/>
              </w:rPr>
              <w:t>Provide excise tax gross-ups</w:t>
            </w:r>
          </w:p>
        </w:tc>
      </w:tr>
      <w:tr>
        <w:trPr/>
        <w:tc>
          <w:tcPr>
            <w:tcW w:w="290" w:type="dxa"/>
            <w:tcBorders>
              <w:left w:val="single" w:sz="2" w:space="0" w:color="00548B"/>
              <w:bottom w:val="single" w:sz="2" w:space="0" w:color="999999"/>
            </w:tcBorders>
            <w:shd w:fill="auto" w:val="clear"/>
            <w:tcMar>
              <w:left w:w="160" w:type="dxa"/>
              <w:bottom w:w="28" w:type="dxa"/>
            </w:tcMar>
          </w:tcPr>
          <w:p>
            <w:pPr>
              <w:pStyle w:val="TableContents"/>
              <w:spacing w:before="0" w:after="283"/>
              <w:rPr>
                <w:color w:val="00548B"/>
              </w:rPr>
            </w:pPr>
            <w:r>
              <w:rPr>
                <w:color w:val="00548B"/>
              </w:rPr>
              <w:t>✓</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37" w:type="dxa"/>
            <w:tcBorders>
              <w:bottom w:val="single" w:sz="2" w:space="0" w:color="999999"/>
              <w:right w:val="single" w:sz="2" w:space="0" w:color="999999"/>
            </w:tcBorders>
            <w:shd w:fill="auto" w:val="clear"/>
            <w:tcMar>
              <w:bottom w:w="28" w:type="dxa"/>
              <w:right w:w="28" w:type="dxa"/>
            </w:tcMar>
          </w:tcPr>
          <w:p>
            <w:pPr>
              <w:pStyle w:val="TableContents"/>
              <w:spacing w:before="0" w:after="0"/>
              <w:jc w:val="both"/>
              <w:rPr>
                <w:rFonts w:ascii="arial" w:hAnsi="arial"/>
                <w:sz w:val="18"/>
              </w:rPr>
            </w:pPr>
            <w:r>
              <w:rPr>
                <w:rFonts w:ascii="arial" w:hAnsi="arial"/>
                <w:sz w:val="18"/>
              </w:rPr>
              <w:t>Provide only double-trigger benefits in a change of control event</w:t>
            </w:r>
          </w:p>
        </w:tc>
        <w:tc>
          <w:tcPr>
            <w:tcW w:w="118" w:type="dxa"/>
            <w:tcBorders>
              <w:bottom w:val="single" w:sz="2" w:space="0" w:color="999999"/>
            </w:tcBorders>
            <w:shd w:fill="auto" w:val="clear"/>
            <w:tcMar>
              <w:bottom w:w="28" w:type="dxa"/>
            </w:tcMar>
            <w:vAlign w:val="bottom"/>
          </w:tcPr>
          <w:p>
            <w:pPr>
              <w:pStyle w:val="TableContents"/>
              <w:spacing w:before="0" w:after="283"/>
              <w:rPr/>
            </w:pPr>
            <w:r>
              <w:rPr/>
              <w:t> </w:t>
            </w:r>
          </w:p>
        </w:tc>
        <w:tc>
          <w:tcPr>
            <w:tcW w:w="173" w:type="dxa"/>
            <w:tcBorders>
              <w:bottom w:val="single" w:sz="2" w:space="0" w:color="999999"/>
            </w:tcBorders>
            <w:shd w:fill="auto" w:val="clear"/>
            <w:tcMar>
              <w:bottom w:w="28" w:type="dxa"/>
            </w:tcMar>
          </w:tcPr>
          <w:p>
            <w:pPr>
              <w:pStyle w:val="TableContents"/>
              <w:spacing w:before="0" w:after="283"/>
              <w:rPr>
                <w:rFonts w:ascii="WINGDINGS" w:hAnsi="WINGDINGS"/>
                <w:color w:val="00548B"/>
              </w:rPr>
            </w:pPr>
            <w:r>
              <w:rPr>
                <w:rFonts w:ascii="WINGDINGS" w:hAnsi="WINGDINGS"/>
                <w:color w:val="00548B"/>
              </w:rPr>
              <w:t>û</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551" w:type="dxa"/>
            <w:tcBorders>
              <w:bottom w:val="single" w:sz="2" w:space="0" w:color="999999"/>
              <w:right w:val="single" w:sz="2" w:space="0" w:color="00548B"/>
            </w:tcBorders>
            <w:shd w:fill="auto" w:val="clear"/>
            <w:tcMar>
              <w:bottom w:w="28" w:type="dxa"/>
              <w:right w:w="40" w:type="dxa"/>
            </w:tcMar>
          </w:tcPr>
          <w:p>
            <w:pPr>
              <w:pStyle w:val="TableContents"/>
              <w:spacing w:before="0" w:after="0"/>
              <w:jc w:val="both"/>
              <w:rPr>
                <w:rFonts w:ascii="arial" w:hAnsi="arial"/>
                <w:sz w:val="18"/>
              </w:rPr>
            </w:pPr>
            <w:r>
              <w:rPr>
                <w:rFonts w:ascii="arial" w:hAnsi="arial"/>
                <w:sz w:val="18"/>
              </w:rPr>
              <w:t>Allow any hedging or pledging of Huron stock</w:t>
            </w:r>
          </w:p>
        </w:tc>
      </w:tr>
      <w:tr>
        <w:trPr/>
        <w:tc>
          <w:tcPr>
            <w:tcW w:w="290" w:type="dxa"/>
            <w:tcBorders>
              <w:left w:val="single" w:sz="2" w:space="0" w:color="00548B"/>
              <w:bottom w:val="single" w:sz="2" w:space="0" w:color="999999"/>
            </w:tcBorders>
            <w:shd w:fill="auto" w:val="clear"/>
            <w:tcMar>
              <w:left w:w="160" w:type="dxa"/>
              <w:bottom w:w="28" w:type="dxa"/>
            </w:tcMar>
          </w:tcPr>
          <w:p>
            <w:pPr>
              <w:pStyle w:val="TableContents"/>
              <w:spacing w:before="0" w:after="283"/>
              <w:rPr>
                <w:color w:val="00548B"/>
              </w:rPr>
            </w:pPr>
            <w:r>
              <w:rPr>
                <w:color w:val="00548B"/>
              </w:rPr>
              <w:t>✓</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37" w:type="dxa"/>
            <w:tcBorders>
              <w:bottom w:val="single" w:sz="2" w:space="0" w:color="999999"/>
              <w:right w:val="single" w:sz="2" w:space="0" w:color="999999"/>
            </w:tcBorders>
            <w:shd w:fill="auto" w:val="clear"/>
            <w:tcMar>
              <w:bottom w:w="28" w:type="dxa"/>
              <w:right w:w="28" w:type="dxa"/>
            </w:tcMar>
          </w:tcPr>
          <w:p>
            <w:pPr>
              <w:pStyle w:val="TableContents"/>
              <w:spacing w:before="0" w:after="0"/>
              <w:jc w:val="both"/>
              <w:rPr>
                <w:rFonts w:ascii="arial" w:hAnsi="arial"/>
                <w:sz w:val="18"/>
              </w:rPr>
            </w:pPr>
            <w:r>
              <w:rPr>
                <w:rFonts w:ascii="arial" w:hAnsi="arial"/>
                <w:sz w:val="18"/>
              </w:rPr>
              <w:t>Annually review our programs for inappropriate risk</w:t>
            </w:r>
          </w:p>
        </w:tc>
        <w:tc>
          <w:tcPr>
            <w:tcW w:w="118" w:type="dxa"/>
            <w:tcBorders>
              <w:bottom w:val="single" w:sz="2" w:space="0" w:color="999999"/>
            </w:tcBorders>
            <w:shd w:fill="auto" w:val="clear"/>
            <w:tcMar>
              <w:bottom w:w="28" w:type="dxa"/>
            </w:tcMar>
            <w:vAlign w:val="bottom"/>
          </w:tcPr>
          <w:p>
            <w:pPr>
              <w:pStyle w:val="TableContents"/>
              <w:spacing w:before="0" w:after="283"/>
              <w:rPr/>
            </w:pPr>
            <w:r>
              <w:rPr/>
              <w:t> </w:t>
            </w:r>
          </w:p>
        </w:tc>
        <w:tc>
          <w:tcPr>
            <w:tcW w:w="173" w:type="dxa"/>
            <w:tcBorders>
              <w:bottom w:val="single" w:sz="2" w:space="0" w:color="999999"/>
            </w:tcBorders>
            <w:shd w:fill="auto" w:val="clear"/>
            <w:tcMar>
              <w:bottom w:w="28" w:type="dxa"/>
            </w:tcMar>
          </w:tcPr>
          <w:p>
            <w:pPr>
              <w:pStyle w:val="TableContents"/>
              <w:spacing w:before="0" w:after="283"/>
              <w:rPr>
                <w:rFonts w:ascii="WINGDINGS" w:hAnsi="WINGDINGS"/>
                <w:color w:val="00548B"/>
              </w:rPr>
            </w:pPr>
            <w:r>
              <w:rPr>
                <w:rFonts w:ascii="WINGDINGS" w:hAnsi="WINGDINGS"/>
                <w:color w:val="00548B"/>
              </w:rPr>
              <w:t>û</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551" w:type="dxa"/>
            <w:tcBorders>
              <w:bottom w:val="single" w:sz="2" w:space="0" w:color="999999"/>
              <w:right w:val="single" w:sz="2" w:space="0" w:color="00548B"/>
            </w:tcBorders>
            <w:shd w:fill="auto" w:val="clear"/>
            <w:tcMar>
              <w:bottom w:w="28" w:type="dxa"/>
              <w:right w:w="40" w:type="dxa"/>
            </w:tcMar>
          </w:tcPr>
          <w:p>
            <w:pPr>
              <w:pStyle w:val="TableContents"/>
              <w:spacing w:before="0" w:after="0"/>
              <w:jc w:val="both"/>
              <w:rPr>
                <w:rFonts w:ascii="arial" w:hAnsi="arial"/>
                <w:sz w:val="18"/>
              </w:rPr>
            </w:pPr>
            <w:r>
              <w:rPr>
                <w:rFonts w:ascii="arial" w:hAnsi="arial"/>
                <w:sz w:val="18"/>
              </w:rPr>
              <w:t>Allow stock grants to be timed or awards to be repriced</w:t>
            </w:r>
          </w:p>
        </w:tc>
      </w:tr>
      <w:tr>
        <w:trPr/>
        <w:tc>
          <w:tcPr>
            <w:tcW w:w="290" w:type="dxa"/>
            <w:tcBorders>
              <w:left w:val="single" w:sz="2" w:space="0" w:color="00548B"/>
              <w:bottom w:val="single" w:sz="2" w:space="0" w:color="999999"/>
            </w:tcBorders>
            <w:shd w:fill="auto" w:val="clear"/>
            <w:tcMar>
              <w:left w:w="160" w:type="dxa"/>
              <w:bottom w:w="28" w:type="dxa"/>
            </w:tcMar>
          </w:tcPr>
          <w:p>
            <w:pPr>
              <w:pStyle w:val="TableContents"/>
              <w:spacing w:before="0" w:after="283"/>
              <w:rPr>
                <w:color w:val="00548B"/>
              </w:rPr>
            </w:pPr>
            <w:r>
              <w:rPr>
                <w:color w:val="00548B"/>
              </w:rPr>
              <w:t>✓</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37" w:type="dxa"/>
            <w:tcBorders>
              <w:bottom w:val="single" w:sz="2" w:space="0" w:color="999999"/>
              <w:right w:val="single" w:sz="2" w:space="0" w:color="999999"/>
            </w:tcBorders>
            <w:shd w:fill="auto" w:val="clear"/>
            <w:tcMar>
              <w:bottom w:w="28" w:type="dxa"/>
              <w:right w:w="28" w:type="dxa"/>
            </w:tcMar>
          </w:tcPr>
          <w:p>
            <w:pPr>
              <w:pStyle w:val="TableContents"/>
              <w:spacing w:before="0" w:after="0"/>
              <w:jc w:val="both"/>
              <w:rPr>
                <w:rFonts w:ascii="arial" w:hAnsi="arial"/>
                <w:sz w:val="18"/>
              </w:rPr>
            </w:pPr>
            <w:r>
              <w:rPr>
                <w:rFonts w:ascii="arial" w:hAnsi="arial"/>
                <w:sz w:val="18"/>
              </w:rPr>
              <w:t>Maintain robust, competitive stock ownership guidelines, including an increase as of 2019 to 5X for the CEO and directors, and a requirement that 60% of after tax shares be held until the guidelines are met</w:t>
            </w:r>
          </w:p>
        </w:tc>
        <w:tc>
          <w:tcPr>
            <w:tcW w:w="118" w:type="dxa"/>
            <w:tcBorders>
              <w:bottom w:val="single" w:sz="2" w:space="0" w:color="999999"/>
            </w:tcBorders>
            <w:shd w:fill="auto" w:val="clear"/>
            <w:tcMar>
              <w:bottom w:w="28" w:type="dxa"/>
            </w:tcMar>
            <w:vAlign w:val="bottom"/>
          </w:tcPr>
          <w:p>
            <w:pPr>
              <w:pStyle w:val="TableContents"/>
              <w:spacing w:before="0" w:after="283"/>
              <w:rPr/>
            </w:pPr>
            <w:r>
              <w:rPr/>
              <w:t> </w:t>
            </w:r>
          </w:p>
        </w:tc>
        <w:tc>
          <w:tcPr>
            <w:tcW w:w="173" w:type="dxa"/>
            <w:tcBorders>
              <w:bottom w:val="single" w:sz="2" w:space="0" w:color="999999"/>
            </w:tcBorders>
            <w:shd w:fill="auto" w:val="clear"/>
            <w:tcMar>
              <w:bottom w:w="28" w:type="dxa"/>
            </w:tcMar>
          </w:tcPr>
          <w:p>
            <w:pPr>
              <w:pStyle w:val="TableContents"/>
              <w:spacing w:before="0" w:after="283"/>
              <w:rPr>
                <w:rFonts w:ascii="WINGDINGS" w:hAnsi="WINGDINGS"/>
                <w:color w:val="00548B"/>
              </w:rPr>
            </w:pPr>
            <w:r>
              <w:rPr>
                <w:rFonts w:ascii="WINGDINGS" w:hAnsi="WINGDINGS"/>
                <w:color w:val="00548B"/>
              </w:rPr>
              <w:t>û</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551" w:type="dxa"/>
            <w:tcBorders>
              <w:bottom w:val="single" w:sz="2" w:space="0" w:color="999999"/>
              <w:right w:val="single" w:sz="2" w:space="0" w:color="00548B"/>
            </w:tcBorders>
            <w:shd w:fill="auto" w:val="clear"/>
            <w:tcMar>
              <w:bottom w:w="28" w:type="dxa"/>
              <w:right w:w="40" w:type="dxa"/>
            </w:tcMar>
          </w:tcPr>
          <w:p>
            <w:pPr>
              <w:pStyle w:val="TableContents"/>
              <w:spacing w:before="0" w:after="0"/>
              <w:jc w:val="both"/>
              <w:rPr>
                <w:rFonts w:ascii="arial" w:hAnsi="arial"/>
                <w:sz w:val="18"/>
              </w:rPr>
            </w:pPr>
            <w:r>
              <w:rPr>
                <w:rFonts w:ascii="arial" w:hAnsi="arial"/>
                <w:sz w:val="18"/>
              </w:rPr>
              <w:t>Provide executive perquisites not commonly available to the broader Huron employee population</w:t>
            </w:r>
          </w:p>
        </w:tc>
      </w:tr>
      <w:tr>
        <w:trPr/>
        <w:tc>
          <w:tcPr>
            <w:tcW w:w="290" w:type="dxa"/>
            <w:tcBorders>
              <w:left w:val="single" w:sz="2" w:space="0" w:color="00548B"/>
              <w:bottom w:val="single" w:sz="2" w:space="0" w:color="999999"/>
            </w:tcBorders>
            <w:shd w:fill="auto" w:val="clear"/>
            <w:tcMar>
              <w:left w:w="160" w:type="dxa"/>
              <w:bottom w:w="28" w:type="dxa"/>
            </w:tcMar>
          </w:tcPr>
          <w:p>
            <w:pPr>
              <w:pStyle w:val="TableContents"/>
              <w:spacing w:before="0" w:after="283"/>
              <w:rPr>
                <w:color w:val="00548B"/>
              </w:rPr>
            </w:pPr>
            <w:r>
              <w:rPr>
                <w:color w:val="00548B"/>
              </w:rPr>
              <w:t>✓</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37" w:type="dxa"/>
            <w:tcBorders>
              <w:bottom w:val="single" w:sz="2" w:space="0" w:color="999999"/>
              <w:right w:val="single" w:sz="2" w:space="0" w:color="999999"/>
            </w:tcBorders>
            <w:shd w:fill="auto" w:val="clear"/>
            <w:tcMar>
              <w:bottom w:w="28" w:type="dxa"/>
              <w:right w:w="28" w:type="dxa"/>
            </w:tcMar>
          </w:tcPr>
          <w:p>
            <w:pPr>
              <w:pStyle w:val="TableContents"/>
              <w:spacing w:before="0" w:after="0"/>
              <w:jc w:val="both"/>
              <w:rPr>
                <w:rFonts w:ascii="arial" w:hAnsi="arial"/>
                <w:sz w:val="18"/>
              </w:rPr>
            </w:pPr>
            <w:r>
              <w:rPr>
                <w:rFonts w:ascii="arial" w:hAnsi="arial"/>
                <w:sz w:val="18"/>
              </w:rPr>
              <w:t>Maintain a clawback policy providing for recoupment of incentive-based compensation if payouts were based on misstated financial results</w:t>
            </w:r>
          </w:p>
        </w:tc>
        <w:tc>
          <w:tcPr>
            <w:tcW w:w="118" w:type="dxa"/>
            <w:tcBorders>
              <w:bottom w:val="single" w:sz="2" w:space="0" w:color="999999"/>
            </w:tcBorders>
            <w:shd w:fill="auto" w:val="clear"/>
            <w:tcMar>
              <w:bottom w:w="28" w:type="dxa"/>
            </w:tcMar>
            <w:vAlign w:val="bottom"/>
          </w:tcPr>
          <w:p>
            <w:pPr>
              <w:pStyle w:val="TableContents"/>
              <w:spacing w:before="0" w:after="283"/>
              <w:rPr/>
            </w:pPr>
            <w:r>
              <w:rPr/>
              <w:t> </w:t>
            </w:r>
          </w:p>
        </w:tc>
        <w:tc>
          <w:tcPr>
            <w:tcW w:w="173" w:type="dxa"/>
            <w:tcBorders>
              <w:bottom w:val="single" w:sz="2" w:space="0" w:color="999999"/>
            </w:tcBorders>
            <w:shd w:fill="auto" w:val="clear"/>
            <w:tcMar>
              <w:bottom w:w="28" w:type="dxa"/>
            </w:tcMar>
          </w:tcPr>
          <w:p>
            <w:pPr>
              <w:pStyle w:val="TableContents"/>
              <w:spacing w:before="0" w:after="283"/>
              <w:rPr/>
            </w:pPr>
            <w:r>
              <w:rPr/>
              <w:t> </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551" w:type="dxa"/>
            <w:tcBorders>
              <w:bottom w:val="single" w:sz="2" w:space="0" w:color="999999"/>
              <w:right w:val="single" w:sz="2" w:space="0" w:color="00548B"/>
            </w:tcBorders>
            <w:shd w:fill="auto" w:val="clear"/>
            <w:tcMar>
              <w:bottom w:w="28" w:type="dxa"/>
              <w:right w:w="40" w:type="dxa"/>
            </w:tcMar>
          </w:tcPr>
          <w:p>
            <w:pPr>
              <w:pStyle w:val="TableContents"/>
              <w:spacing w:before="0" w:after="283"/>
              <w:rPr/>
            </w:pPr>
            <w:r>
              <w:rPr/>
              <w:t> </w:t>
            </w:r>
          </w:p>
        </w:tc>
      </w:tr>
      <w:tr>
        <w:trPr/>
        <w:tc>
          <w:tcPr>
            <w:tcW w:w="290" w:type="dxa"/>
            <w:tcBorders>
              <w:left w:val="single" w:sz="2" w:space="0" w:color="00548B"/>
              <w:bottom w:val="single" w:sz="2" w:space="0" w:color="999999"/>
            </w:tcBorders>
            <w:shd w:fill="auto" w:val="clear"/>
            <w:tcMar>
              <w:left w:w="160" w:type="dxa"/>
              <w:bottom w:w="28" w:type="dxa"/>
            </w:tcMar>
          </w:tcPr>
          <w:p>
            <w:pPr>
              <w:pStyle w:val="TableContents"/>
              <w:spacing w:before="0" w:after="283"/>
              <w:rPr>
                <w:color w:val="00548B"/>
              </w:rPr>
            </w:pPr>
            <w:r>
              <w:rPr>
                <w:color w:val="00548B"/>
              </w:rPr>
              <w:t>✓</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837" w:type="dxa"/>
            <w:tcBorders>
              <w:bottom w:val="single" w:sz="2" w:space="0" w:color="999999"/>
              <w:right w:val="single" w:sz="2" w:space="0" w:color="999999"/>
            </w:tcBorders>
            <w:shd w:fill="auto" w:val="clear"/>
            <w:tcMar>
              <w:bottom w:w="28" w:type="dxa"/>
              <w:right w:w="28" w:type="dxa"/>
            </w:tcMar>
          </w:tcPr>
          <w:p>
            <w:pPr>
              <w:pStyle w:val="TableContents"/>
              <w:spacing w:before="0" w:after="0"/>
              <w:jc w:val="both"/>
              <w:rPr>
                <w:rFonts w:ascii="arial" w:hAnsi="arial"/>
                <w:sz w:val="18"/>
              </w:rPr>
            </w:pPr>
            <w:r>
              <w:rPr>
                <w:rFonts w:ascii="arial" w:hAnsi="arial"/>
                <w:sz w:val="18"/>
              </w:rPr>
              <w:t>Retain an independent compensation consultant to the board</w:t>
            </w:r>
          </w:p>
        </w:tc>
        <w:tc>
          <w:tcPr>
            <w:tcW w:w="118" w:type="dxa"/>
            <w:tcBorders>
              <w:bottom w:val="single" w:sz="2" w:space="0" w:color="999999"/>
            </w:tcBorders>
            <w:shd w:fill="auto" w:val="clear"/>
            <w:tcMar>
              <w:bottom w:w="28" w:type="dxa"/>
            </w:tcMar>
            <w:vAlign w:val="bottom"/>
          </w:tcPr>
          <w:p>
            <w:pPr>
              <w:pStyle w:val="TableContents"/>
              <w:spacing w:before="0" w:after="283"/>
              <w:rPr/>
            </w:pPr>
            <w:r>
              <w:rPr/>
              <w:t> </w:t>
            </w:r>
          </w:p>
        </w:tc>
        <w:tc>
          <w:tcPr>
            <w:tcW w:w="173" w:type="dxa"/>
            <w:tcBorders>
              <w:bottom w:val="single" w:sz="2" w:space="0" w:color="999999"/>
            </w:tcBorders>
            <w:shd w:fill="auto" w:val="clear"/>
            <w:tcMar>
              <w:bottom w:w="28" w:type="dxa"/>
            </w:tcMar>
          </w:tcPr>
          <w:p>
            <w:pPr>
              <w:pStyle w:val="TableContents"/>
              <w:spacing w:before="0" w:after="283"/>
              <w:rPr/>
            </w:pPr>
            <w:r>
              <w:rPr/>
              <w:t> </w:t>
            </w:r>
          </w:p>
        </w:tc>
        <w:tc>
          <w:tcPr>
            <w:tcW w:w="11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4551" w:type="dxa"/>
            <w:tcBorders>
              <w:bottom w:val="single" w:sz="2" w:space="0" w:color="999999"/>
              <w:right w:val="single" w:sz="2" w:space="0" w:color="00548B"/>
            </w:tcBorders>
            <w:shd w:fill="auto" w:val="clear"/>
            <w:tcMar>
              <w:bottom w:w="28" w:type="dxa"/>
              <w:right w:w="40" w:type="dxa"/>
            </w:tcMar>
          </w:tcPr>
          <w:p>
            <w:pPr>
              <w:pStyle w:val="TableContents"/>
              <w:spacing w:before="0" w:after="283"/>
              <w:rPr/>
            </w:pPr>
            <w:r>
              <w:rPr/>
              <w:t> </w:t>
            </w:r>
          </w:p>
        </w:tc>
      </w:tr>
      <w:tr>
        <w:trPr/>
        <w:tc>
          <w:tcPr>
            <w:tcW w:w="290" w:type="dxa"/>
            <w:tcBorders>
              <w:left w:val="single" w:sz="2" w:space="0" w:color="00548B"/>
              <w:bottom w:val="single" w:sz="2" w:space="0" w:color="00548B"/>
            </w:tcBorders>
            <w:shd w:fill="auto" w:val="clear"/>
            <w:tcMar>
              <w:left w:w="160" w:type="dxa"/>
              <w:bottom w:w="28" w:type="dxa"/>
            </w:tcMar>
          </w:tcPr>
          <w:p>
            <w:pPr>
              <w:pStyle w:val="TableContents"/>
              <w:spacing w:before="0" w:after="283"/>
              <w:rPr>
                <w:color w:val="00548B"/>
              </w:rPr>
            </w:pPr>
            <w:r>
              <w:rPr>
                <w:color w:val="00548B"/>
              </w:rPr>
              <w:t>✓</w:t>
            </w:r>
          </w:p>
        </w:tc>
        <w:tc>
          <w:tcPr>
            <w:tcW w:w="118" w:type="dxa"/>
            <w:tcBorders>
              <w:left w:val="single" w:sz="2" w:space="0" w:color="999999"/>
              <w:bottom w:val="single" w:sz="2" w:space="0" w:color="00548B"/>
            </w:tcBorders>
            <w:shd w:fill="auto" w:val="clear"/>
            <w:tcMar>
              <w:left w:w="28" w:type="dxa"/>
              <w:bottom w:w="28" w:type="dxa"/>
            </w:tcMar>
            <w:vAlign w:val="bottom"/>
          </w:tcPr>
          <w:p>
            <w:pPr>
              <w:pStyle w:val="TableContents"/>
              <w:spacing w:before="0" w:after="283"/>
              <w:rPr/>
            </w:pPr>
            <w:r>
              <w:rPr/>
              <w:t> </w:t>
            </w:r>
          </w:p>
        </w:tc>
        <w:tc>
          <w:tcPr>
            <w:tcW w:w="4837" w:type="dxa"/>
            <w:tcBorders>
              <w:bottom w:val="single" w:sz="2" w:space="0" w:color="00548B"/>
              <w:right w:val="single" w:sz="2" w:space="0" w:color="999999"/>
            </w:tcBorders>
            <w:shd w:fill="auto" w:val="clear"/>
            <w:tcMar>
              <w:bottom w:w="28" w:type="dxa"/>
              <w:right w:w="28" w:type="dxa"/>
            </w:tcMar>
          </w:tcPr>
          <w:p>
            <w:pPr>
              <w:pStyle w:val="TableContents"/>
              <w:spacing w:before="0" w:after="0"/>
              <w:jc w:val="both"/>
              <w:rPr>
                <w:rFonts w:ascii="arial" w:hAnsi="arial"/>
                <w:sz w:val="18"/>
              </w:rPr>
            </w:pPr>
            <w:r>
              <w:rPr>
                <w:rFonts w:ascii="arial" w:hAnsi="arial"/>
                <w:sz w:val="18"/>
              </w:rPr>
              <w:t>Solicit investor feedback on our compensation program and potential enhancements through an extensive shareholder engagement program</w:t>
            </w:r>
          </w:p>
        </w:tc>
        <w:tc>
          <w:tcPr>
            <w:tcW w:w="118" w:type="dxa"/>
            <w:tcBorders>
              <w:bottom w:val="single" w:sz="2" w:space="0" w:color="00548B"/>
            </w:tcBorders>
            <w:shd w:fill="auto" w:val="clear"/>
            <w:tcMar>
              <w:bottom w:w="28" w:type="dxa"/>
            </w:tcMar>
            <w:vAlign w:val="bottom"/>
          </w:tcPr>
          <w:p>
            <w:pPr>
              <w:pStyle w:val="TableContents"/>
              <w:spacing w:before="0" w:after="283"/>
              <w:rPr/>
            </w:pPr>
            <w:r>
              <w:rPr/>
              <w:t> </w:t>
            </w:r>
          </w:p>
        </w:tc>
        <w:tc>
          <w:tcPr>
            <w:tcW w:w="173" w:type="dxa"/>
            <w:tcBorders>
              <w:bottom w:val="single" w:sz="2" w:space="0" w:color="00548B"/>
            </w:tcBorders>
            <w:shd w:fill="auto" w:val="clear"/>
            <w:tcMar>
              <w:bottom w:w="28" w:type="dxa"/>
            </w:tcMar>
          </w:tcPr>
          <w:p>
            <w:pPr>
              <w:pStyle w:val="TableContents"/>
              <w:spacing w:before="0" w:after="283"/>
              <w:rPr/>
            </w:pPr>
            <w:r>
              <w:rPr/>
              <w:t> </w:t>
            </w:r>
          </w:p>
        </w:tc>
        <w:tc>
          <w:tcPr>
            <w:tcW w:w="118" w:type="dxa"/>
            <w:tcBorders>
              <w:left w:val="single" w:sz="2" w:space="0" w:color="999999"/>
              <w:bottom w:val="single" w:sz="2" w:space="0" w:color="00548B"/>
            </w:tcBorders>
            <w:shd w:fill="auto" w:val="clear"/>
            <w:tcMar>
              <w:left w:w="28" w:type="dxa"/>
              <w:bottom w:w="28" w:type="dxa"/>
            </w:tcMar>
            <w:vAlign w:val="bottom"/>
          </w:tcPr>
          <w:p>
            <w:pPr>
              <w:pStyle w:val="TableContents"/>
              <w:spacing w:before="0" w:after="283"/>
              <w:rPr/>
            </w:pPr>
            <w:r>
              <w:rPr/>
              <w:t> </w:t>
            </w:r>
          </w:p>
        </w:tc>
        <w:tc>
          <w:tcPr>
            <w:tcW w:w="4551" w:type="dxa"/>
            <w:tcBorders>
              <w:bottom w:val="single" w:sz="2" w:space="0" w:color="00548B"/>
              <w:right w:val="single" w:sz="2" w:space="0" w:color="00548B"/>
            </w:tcBorders>
            <w:shd w:fill="auto" w:val="clear"/>
            <w:tcMar>
              <w:bottom w:w="28" w:type="dxa"/>
              <w:right w:w="40" w:type="dxa"/>
            </w:tcMar>
          </w:tcPr>
          <w:p>
            <w:pPr>
              <w:pStyle w:val="TableContents"/>
              <w:spacing w:before="0" w:after="283"/>
              <w:rPr/>
            </w:pPr>
            <w:r>
              <w:rPr/>
              <w:t> </w:t>
            </w:r>
          </w:p>
        </w:tc>
      </w:tr>
    </w:tbl>
    <w:p>
      <w:pPr>
        <w:pStyle w:val="TextBody"/>
        <w:spacing w:before="200" w:after="0"/>
        <w:jc w:val="both"/>
        <w:rPr>
          <w:rFonts w:ascii="arial" w:hAnsi="arial"/>
          <w:b/>
          <w:i/>
          <w:color w:val="00548B"/>
          <w:sz w:val="18"/>
        </w:rPr>
      </w:pPr>
      <w:r>
        <w:rPr>
          <w:rFonts w:ascii="arial" w:hAnsi="arial"/>
          <w:b/>
          <w:i/>
          <w:color w:val="00548B"/>
          <w:sz w:val="18"/>
        </w:rPr>
        <w:t xml:space="preserve">Shareholder Outreach </w:t>
      </w:r>
    </w:p>
    <w:p>
      <w:pPr>
        <w:pStyle w:val="TextBody"/>
        <w:spacing w:before="0" w:after="0"/>
        <w:jc w:val="both"/>
        <w:rPr>
          <w:rFonts w:ascii="arial" w:hAnsi="arial"/>
          <w:sz w:val="18"/>
        </w:rPr>
      </w:pPr>
      <w:r>
        <w:rPr>
          <w:rFonts w:ascii="arial" w:hAnsi="arial"/>
          <w:sz w:val="18"/>
        </w:rPr>
        <w:t xml:space="preserve">We engage in a proactive outreach effort with our shareholders on a regular basis throughout the year. Select members of our board of directors and management team engage with our shareholders to seek their input and perspectives and help increase their understanding of our business, our growth strategy, our commitment to our people and culture, including inclusion and diversity, our executive compensation philosophy and program, and corporate governance, environmental and social issues. Throughout 2020, we engaged with shareholders representing a significant percentage of our outstanding shares. These conversations primarily focused on the evolution of the Companys strategy and the impact of COVID-19, our ongoing refresh process for the board of directors, including how we will continue to foster diversity among board members, and environmental, social and governance factors. We heard no concerns regarding our NEO pay programs. Our independent Chairman and the chair of the Compensation Committee were available for consultation with our major shareholders. The feedback received through our shareholder outreach efforts is communicated to and considered by the board and, when appropriate, informs our decisions and strategy. For example, our current executive compensation program reflects specific feedback that we received during our 2018 and 2019 shareholder outreach efforts. The 2020 executive compensation program remains largely unchanged from 2019. </w:t>
      </w:r>
    </w:p>
    <w:p>
      <w:pPr>
        <w:pStyle w:val="TextBody"/>
        <w:spacing w:before="200" w:after="0"/>
        <w:jc w:val="both"/>
        <w:rPr>
          <w:rFonts w:ascii="arial" w:hAnsi="arial"/>
          <w:b/>
          <w:i/>
          <w:color w:val="00548B"/>
          <w:sz w:val="18"/>
        </w:rPr>
      </w:pPr>
      <w:r>
        <w:rPr>
          <w:rFonts w:ascii="arial" w:hAnsi="arial"/>
          <w:b/>
          <w:i/>
          <w:color w:val="00548B"/>
          <w:sz w:val="18"/>
        </w:rPr>
        <w:t xml:space="preserve">2020 Say on Pay Vote </w:t>
      </w:r>
    </w:p>
    <w:p>
      <w:pPr>
        <w:pStyle w:val="TextBody"/>
        <w:spacing w:before="0" w:after="0"/>
        <w:jc w:val="both"/>
        <w:rPr>
          <w:rFonts w:ascii="arial" w:hAnsi="arial"/>
          <w:sz w:val="18"/>
        </w:rPr>
      </w:pPr>
      <w:r>
        <w:rPr>
          <w:rFonts w:ascii="arial" w:hAnsi="arial"/>
          <w:sz w:val="18"/>
        </w:rPr>
        <w:t xml:space="preserve">At the 2020 Annual Meeting, approximately 92% of votes cast were in support of the named executive officer compensation. We view this overwhelming support of our compensation programs as a reflection of the strong alignment between our executives pay and shareholder value, as well as the strength of the program design changes that we made during 2018 and 2019. We will continue to listen carefully to our shareholders and incorporate their feedback into our deliberations about executive compensation.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0205" w:type="dxa"/>
            <w:tcBorders>
              <w:top w:val="single" w:sz="2" w:space="0" w:color="00548B"/>
              <w:left w:val="single" w:sz="2" w:space="0" w:color="00548B"/>
              <w:right w:val="single" w:sz="2" w:space="0" w:color="00548B"/>
            </w:tcBorders>
            <w:shd w:fill="00548B" w:val="clear"/>
            <w:tcMar>
              <w:top w:w="28" w:type="dxa"/>
              <w:left w:w="160" w:type="dxa"/>
              <w:right w:w="28" w:type="dxa"/>
            </w:tcMar>
            <w:vAlign w:val="center"/>
          </w:tcPr>
          <w:p>
            <w:pPr>
              <w:pStyle w:val="TableContents"/>
              <w:spacing w:before="0" w:after="283"/>
              <w:rPr/>
            </w:pPr>
            <w:r>
              <w:rPr/>
              <w:t> </w:t>
            </w:r>
          </w:p>
        </w:tc>
      </w:tr>
      <w:tr>
        <w:trPr/>
        <w:tc>
          <w:tcPr>
            <w:tcW w:w="10205" w:type="dxa"/>
            <w:tcBorders>
              <w:left w:val="single" w:sz="2" w:space="0" w:color="00548B"/>
              <w:bottom w:val="single" w:sz="2" w:space="0" w:color="00548B"/>
              <w:right w:val="single" w:sz="2" w:space="0" w:color="00548B"/>
            </w:tcBorders>
            <w:shd w:fill="00548B" w:val="clear"/>
            <w:tcMar>
              <w:left w:w="160" w:type="dxa"/>
              <w:bottom w:w="28" w:type="dxa"/>
              <w:right w:w="40" w:type="dxa"/>
            </w:tcMar>
            <w:vAlign w:val="center"/>
          </w:tcPr>
          <w:p>
            <w:pPr>
              <w:pStyle w:val="TableContents"/>
              <w:spacing w:before="0" w:after="0"/>
              <w:rPr/>
            </w:pPr>
            <w:r>
              <w:rPr/>
              <w:t> </w:t>
            </w:r>
          </w:p>
          <w:p>
            <w:pPr>
              <w:pStyle w:val="TableContents"/>
              <w:spacing w:before="0" w:after="0"/>
              <w:jc w:val="center"/>
              <w:rPr>
                <w:rFonts w:ascii="arial" w:hAnsi="arial"/>
                <w:b/>
                <w:color w:val="D8D8D8"/>
                <w:sz w:val="20"/>
              </w:rPr>
            </w:pPr>
            <w:r>
              <w:rPr>
                <w:rFonts w:ascii="arial" w:hAnsi="arial"/>
                <w:b/>
                <w:color w:val="D8D8D8"/>
                <w:sz w:val="20"/>
              </w:rPr>
              <w:t>SECTION 3 - NEO COMPENSATION PROGRAM DETAILS</w:t>
            </w:r>
          </w:p>
          <w:p>
            <w:pPr>
              <w:pStyle w:val="TableContents"/>
              <w:spacing w:before="0" w:after="20"/>
              <w:jc w:val="left"/>
              <w:rPr/>
            </w:pPr>
            <w:r>
              <w:rPr/>
              <w:t> </w:t>
            </w:r>
          </w:p>
        </w:tc>
      </w:tr>
    </w:tbl>
    <w:p>
      <w:pPr>
        <w:pStyle w:val="TextBody"/>
        <w:spacing w:before="200" w:after="0"/>
        <w:jc w:val="both"/>
        <w:rPr>
          <w:rFonts w:ascii="arial" w:hAnsi="arial"/>
          <w:b/>
          <w:i/>
          <w:color w:val="00548B"/>
          <w:sz w:val="18"/>
        </w:rPr>
      </w:pPr>
      <w:r>
        <w:rPr>
          <w:rFonts w:ascii="arial" w:hAnsi="arial"/>
          <w:b/>
          <w:i/>
          <w:color w:val="00548B"/>
          <w:sz w:val="18"/>
        </w:rPr>
        <w:t xml:space="preserve">Targeting of Total Direct Compensation </w:t>
      </w:r>
    </w:p>
    <w:p>
      <w:pPr>
        <w:pStyle w:val="TextBody"/>
        <w:spacing w:before="0" w:after="0"/>
        <w:jc w:val="both"/>
        <w:rPr>
          <w:rFonts w:ascii="arial" w:hAnsi="arial"/>
          <w:sz w:val="18"/>
        </w:rPr>
      </w:pPr>
      <w:r>
        <w:rPr>
          <w:rFonts w:ascii="arial" w:hAnsi="arial"/>
          <w:sz w:val="18"/>
        </w:rPr>
        <w:t xml:space="preserve">The Compensation Committee generally targets total direct compensation to be within +/-15% of the median of the Executive Pay Peer Group for our NEOs. In addition to peer group data, the Compensation Committee also reviews survey data for companies with revenues between $500 million and $1 billion from the Radford Global Technology Survey. The Compensation Committee considers Hurons competition for talent for the NEOs as well as our managing directors to be broader than just the peer group companies, including other public and private consulting, strategy and technology organizations. When making compensation determinations, the Compensation Committee considers the advice of our independent compensation consultant and applies its judgment in incorporating these and other factors. </w:t>
      </w:r>
    </w:p>
    <w:p>
      <w:pPr>
        <w:pStyle w:val="TextBody"/>
        <w:spacing w:before="200" w:after="0"/>
        <w:jc w:val="both"/>
        <w:rPr>
          <w:rFonts w:ascii="arial" w:hAnsi="arial"/>
          <w:b/>
          <w:i/>
          <w:color w:val="00548B"/>
          <w:sz w:val="18"/>
        </w:rPr>
      </w:pPr>
      <w:r>
        <w:rPr>
          <w:rFonts w:ascii="arial" w:hAnsi="arial"/>
          <w:b/>
          <w:i/>
          <w:color w:val="00548B"/>
          <w:sz w:val="18"/>
        </w:rPr>
        <w:t xml:space="preserve">2020 NEO Compensation Opportunity </w:t>
      </w:r>
    </w:p>
    <w:p>
      <w:pPr>
        <w:pStyle w:val="TextBody"/>
        <w:spacing w:before="0" w:after="0"/>
        <w:jc w:val="both"/>
        <w:rPr>
          <w:rFonts w:ascii="arial" w:hAnsi="arial"/>
          <w:sz w:val="18"/>
        </w:rPr>
      </w:pPr>
      <w:r>
        <w:rPr>
          <w:rFonts w:ascii="arial" w:hAnsi="arial"/>
          <w:sz w:val="18"/>
        </w:rPr>
        <w:t xml:space="preserve">The Compensation Committee approved 2020 compensation levels (base salary and target annual and long-term incentive) in February of 2020: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00548B"/>
              </w:rPr>
            </w:pPr>
            <w:r>
              <w:rPr>
                <w:color w:val="00548B"/>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both"/>
              <w:rPr>
                <w:rFonts w:ascii="arial" w:hAnsi="arial"/>
                <w:sz w:val="18"/>
              </w:rPr>
            </w:pPr>
            <w:r>
              <w:rPr>
                <w:rFonts w:ascii="arial" w:hAnsi="arial"/>
                <w:sz w:val="18"/>
              </w:rPr>
              <w:t xml:space="preserve">Mr. Roths base salary was increased from $900,000 to $950,000, and his annual incentive opportunity was increased from 110% to 140%. The Compensation Committee chose to increase Mr. Roths target total cash compensation opportunity for the first time in six years to reflect his performance. This change brings his target cash opportunity just above market median of the peer group and puts 78% of Mr. Roths pay at-risk based on Company performance. </w:t>
            </w:r>
          </w:p>
        </w:tc>
      </w:tr>
    </w:tbl>
    <w:tbl>
      <w:tblPr>
        <w:tblW w:w="5000" w:type="pct"/>
        <w:jc w:val="left"/>
        <w:tblInd w:w="0" w:type="dxa"/>
        <w:tblCellMar>
          <w:top w:w="0" w:type="dxa"/>
          <w:left w:w="0" w:type="dxa"/>
          <w:bottom w:w="0" w:type="dxa"/>
          <w:right w:w="0" w:type="dxa"/>
        </w:tblCellMar>
      </w:tblPr>
      <w:tblGrid>
        <w:gridCol w:w="509"/>
        <w:gridCol w:w="305"/>
        <w:gridCol w:w="101"/>
        <w:gridCol w:w="9290"/>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00548B"/>
              </w:rPr>
            </w:pPr>
            <w:r>
              <w:rPr>
                <w:color w:val="00548B"/>
              </w:rPr>
              <w:t></w:t>
            </w:r>
          </w:p>
        </w:tc>
        <w:tc>
          <w:tcPr>
            <w:tcW w:w="101" w:type="dxa"/>
            <w:tcBorders/>
            <w:shd w:fill="auto" w:val="clear"/>
          </w:tcPr>
          <w:p>
            <w:pPr>
              <w:pStyle w:val="TableContents"/>
              <w:spacing w:before="0" w:after="283"/>
              <w:rPr/>
            </w:pPr>
            <w:r>
              <w:rPr/>
              <w:t> </w:t>
            </w:r>
          </w:p>
        </w:tc>
        <w:tc>
          <w:tcPr>
            <w:tcW w:w="9290" w:type="dxa"/>
            <w:tcBorders/>
            <w:shd w:fill="auto" w:val="clear"/>
          </w:tcPr>
          <w:p>
            <w:pPr>
              <w:pStyle w:val="TableContents"/>
              <w:spacing w:before="0" w:after="0"/>
              <w:jc w:val="both"/>
              <w:rPr>
                <w:rFonts w:ascii="arial" w:hAnsi="arial"/>
                <w:sz w:val="18"/>
              </w:rPr>
            </w:pPr>
            <w:r>
              <w:rPr>
                <w:rFonts w:ascii="arial" w:hAnsi="arial"/>
                <w:sz w:val="18"/>
              </w:rPr>
              <w:t xml:space="preserve">Mr. Husseys base salary was increased from $750,000 to $800,000 to reflect his performance and integral role in driving the Company-wide strategy as President and COO. </w:t>
            </w:r>
          </w:p>
        </w:tc>
      </w:tr>
    </w:tbl>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00548B"/>
              </w:rPr>
            </w:pPr>
            <w:r>
              <w:rPr>
                <w:color w:val="00548B"/>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both"/>
              <w:rPr>
                <w:rFonts w:ascii="arial" w:hAnsi="arial"/>
                <w:sz w:val="18"/>
              </w:rPr>
            </w:pPr>
            <w:r>
              <w:rPr>
                <w:rFonts w:ascii="arial" w:hAnsi="arial"/>
                <w:sz w:val="18"/>
              </w:rPr>
              <w:t xml:space="preserve">Mr. Kellys base salary was increased from $460,000 to $525,000, and his target annual incentive opportunity was increased from 70% to 90% of his base salary. These changes were part of the Compensation Committees multi-year strategy to transition his pay closer to the market median. The Committee also awarded Mr. Kelly a grant of 12,639 shares of restricted stock that will cliff vest after four years, provided Mr. Kelly is still in service to Huron, to offer added retention given his outstanding performance and his critical importance to the Company. </w:t>
            </w:r>
          </w:p>
        </w:tc>
      </w:tr>
    </w:tbl>
    <w:tbl>
      <w:tblPr>
        <w:tblW w:w="5000" w:type="pct"/>
        <w:jc w:val="left"/>
        <w:tblInd w:w="0" w:type="dxa"/>
        <w:tblCellMar>
          <w:top w:w="0" w:type="dxa"/>
          <w:left w:w="0" w:type="dxa"/>
          <w:bottom w:w="0" w:type="dxa"/>
          <w:right w:w="0" w:type="dxa"/>
        </w:tblCellMar>
      </w:tblPr>
      <w:tblGrid>
        <w:gridCol w:w="509"/>
        <w:gridCol w:w="305"/>
        <w:gridCol w:w="100"/>
        <w:gridCol w:w="9291"/>
      </w:tblGrid>
      <w:tr>
        <w:trPr/>
        <w:tc>
          <w:tcPr>
            <w:tcW w:w="509" w:type="dxa"/>
            <w:tcBorders/>
            <w:shd w:fill="auto" w:val="clear"/>
            <w:vAlign w:val="center"/>
          </w:tcPr>
          <w:p>
            <w:pPr>
              <w:pStyle w:val="TableContents"/>
              <w:spacing w:before="0" w:after="283"/>
              <w:rPr/>
            </w:pPr>
            <w:r>
              <w:rPr/>
              <w:t> </w:t>
            </w:r>
          </w:p>
        </w:tc>
        <w:tc>
          <w:tcPr>
            <w:tcW w:w="305" w:type="dxa"/>
            <w:tcBorders/>
            <w:shd w:fill="auto" w:val="clear"/>
          </w:tcPr>
          <w:p>
            <w:pPr>
              <w:pStyle w:val="TableContents"/>
              <w:spacing w:before="0" w:after="283"/>
              <w:jc w:val="left"/>
              <w:rPr>
                <w:color w:val="00548B"/>
              </w:rPr>
            </w:pPr>
            <w:r>
              <w:rPr>
                <w:color w:val="00548B"/>
              </w:rPr>
              <w:t></w:t>
            </w:r>
          </w:p>
        </w:tc>
        <w:tc>
          <w:tcPr>
            <w:tcW w:w="100" w:type="dxa"/>
            <w:tcBorders/>
            <w:shd w:fill="auto" w:val="clear"/>
          </w:tcPr>
          <w:p>
            <w:pPr>
              <w:pStyle w:val="TableContents"/>
              <w:spacing w:before="0" w:after="283"/>
              <w:rPr/>
            </w:pPr>
            <w:r>
              <w:rPr/>
              <w:t> </w:t>
            </w:r>
          </w:p>
        </w:tc>
        <w:tc>
          <w:tcPr>
            <w:tcW w:w="9291" w:type="dxa"/>
            <w:tcBorders/>
            <w:shd w:fill="auto" w:val="clear"/>
          </w:tcPr>
          <w:p>
            <w:pPr>
              <w:pStyle w:val="TableContents"/>
              <w:spacing w:before="0" w:after="0"/>
              <w:jc w:val="both"/>
              <w:rPr>
                <w:rFonts w:ascii="arial" w:hAnsi="arial"/>
                <w:sz w:val="18"/>
              </w:rPr>
            </w:pPr>
            <w:r>
              <w:rPr>
                <w:rFonts w:ascii="arial" w:hAnsi="arial"/>
                <w:sz w:val="18"/>
              </w:rPr>
              <w:t xml:space="preserve">The Compensation Committee approved Mr. Torains compensation when he was hired on March 1, 2020, including a grant of 2,301 shares of restricted stock that will vest annually over three years, provided Mr. Torain is still in service to Huron. </w:t>
            </w:r>
          </w:p>
        </w:tc>
      </w:tr>
    </w:tbl>
    <w:p>
      <w:pPr>
        <w:pStyle w:val="TextBody"/>
        <w:spacing w:before="200" w:after="0"/>
        <w:jc w:val="both"/>
        <w:rPr>
          <w:rFonts w:ascii="arial" w:hAnsi="arial"/>
          <w:sz w:val="18"/>
        </w:rPr>
      </w:pPr>
      <w:r>
        <w:rPr>
          <w:rFonts w:ascii="arial" w:hAnsi="arial"/>
          <w:sz w:val="18"/>
        </w:rPr>
        <w:t xml:space="preserve">The Compensation Committee will continue to review NEO compensation for comparability and competitiveness on an annual basis.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335"/>
        <w:gridCol w:w="109"/>
        <w:gridCol w:w="1813"/>
        <w:gridCol w:w="109"/>
        <w:gridCol w:w="1662"/>
        <w:gridCol w:w="109"/>
        <w:gridCol w:w="1701"/>
        <w:gridCol w:w="109"/>
        <w:gridCol w:w="2258"/>
      </w:tblGrid>
      <w:tr>
        <w:trPr/>
        <w:tc>
          <w:tcPr>
            <w:tcW w:w="2335"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1813"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1662"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1701" w:type="dxa"/>
            <w:tcBorders/>
            <w:shd w:fill="auto" w:val="clear"/>
            <w:vAlign w:val="center"/>
          </w:tcPr>
          <w:p>
            <w:pPr>
              <w:pStyle w:val="TableContents"/>
              <w:spacing w:before="0" w:after="283"/>
              <w:rPr>
                <w:sz w:val="4"/>
                <w:szCs w:val="4"/>
              </w:rPr>
            </w:pPr>
            <w:r>
              <w:rPr>
                <w:sz w:val="4"/>
                <w:szCs w:val="4"/>
              </w:rPr>
            </w:r>
          </w:p>
        </w:tc>
        <w:tc>
          <w:tcPr>
            <w:tcW w:w="109" w:type="dxa"/>
            <w:tcBorders/>
            <w:shd w:fill="auto" w:val="clear"/>
            <w:vAlign w:val="bottom"/>
          </w:tcPr>
          <w:p>
            <w:pPr>
              <w:pStyle w:val="TableContents"/>
              <w:spacing w:before="0" w:after="283"/>
              <w:rPr>
                <w:sz w:val="4"/>
                <w:szCs w:val="4"/>
              </w:rPr>
            </w:pPr>
            <w:r>
              <w:rPr>
                <w:sz w:val="4"/>
                <w:szCs w:val="4"/>
              </w:rPr>
            </w:r>
          </w:p>
        </w:tc>
        <w:tc>
          <w:tcPr>
            <w:tcW w:w="2258" w:type="dxa"/>
            <w:tcBorders/>
            <w:shd w:fill="auto" w:val="clear"/>
            <w:vAlign w:val="center"/>
          </w:tcPr>
          <w:p>
            <w:pPr>
              <w:pStyle w:val="TableContents"/>
              <w:spacing w:before="0" w:after="283"/>
              <w:rPr>
                <w:sz w:val="4"/>
                <w:szCs w:val="4"/>
              </w:rPr>
            </w:pPr>
            <w:r>
              <w:rPr>
                <w:sz w:val="4"/>
                <w:szCs w:val="4"/>
              </w:rPr>
            </w:r>
          </w:p>
        </w:tc>
      </w:tr>
      <w:tr>
        <w:trPr/>
        <w:tc>
          <w:tcPr>
            <w:tcW w:w="2335" w:type="dxa"/>
            <w:tcBorders/>
            <w:shd w:fill="00548B" w:val="clear"/>
            <w:vAlign w:val="bottom"/>
          </w:tcPr>
          <w:p>
            <w:pPr>
              <w:pStyle w:val="TableContents"/>
              <w:spacing w:before="0" w:after="0"/>
              <w:rPr/>
            </w:pPr>
            <w:r>
              <w:rPr/>
              <w:t> </w:t>
            </w:r>
          </w:p>
          <w:p>
            <w:pPr>
              <w:pStyle w:val="TableContents"/>
              <w:spacing w:before="0" w:after="0"/>
              <w:rPr>
                <w:rFonts w:ascii="arial" w:hAnsi="arial"/>
                <w:b/>
                <w:color w:val="E5E5E5"/>
                <w:sz w:val="16"/>
              </w:rPr>
            </w:pPr>
            <w:r>
              <w:rPr>
                <w:rFonts w:ascii="arial" w:hAnsi="arial"/>
                <w:b/>
                <w:color w:val="E5E5E5"/>
                <w:sz w:val="16"/>
              </w:rPr>
              <w:t>Compensation Element</w:t>
            </w:r>
          </w:p>
          <w:p>
            <w:pPr>
              <w:pStyle w:val="TableContents"/>
              <w:spacing w:before="0" w:after="20"/>
              <w:rPr/>
            </w:pPr>
            <w:r>
              <w:rPr/>
              <w:t> </w:t>
            </w:r>
          </w:p>
        </w:tc>
        <w:tc>
          <w:tcPr>
            <w:tcW w:w="109" w:type="dxa"/>
            <w:tcBorders/>
            <w:shd w:fill="00548B" w:val="clear"/>
            <w:vAlign w:val="bottom"/>
          </w:tcPr>
          <w:p>
            <w:pPr>
              <w:pStyle w:val="TableContents"/>
              <w:spacing w:before="0" w:after="283"/>
              <w:rPr/>
            </w:pPr>
            <w:r>
              <w:rPr/>
              <w:t> </w:t>
            </w:r>
          </w:p>
        </w:tc>
        <w:tc>
          <w:tcPr>
            <w:tcW w:w="1813" w:type="dxa"/>
            <w:tcBorders/>
            <w:shd w:fill="00548B" w:val="clear"/>
            <w:vAlign w:val="bottom"/>
          </w:tcPr>
          <w:p>
            <w:pPr>
              <w:pStyle w:val="TableContents"/>
              <w:spacing w:before="0" w:after="0"/>
              <w:rPr/>
            </w:pPr>
            <w:r>
              <w:rPr/>
              <w:t> </w:t>
            </w:r>
          </w:p>
          <w:p>
            <w:pPr>
              <w:pStyle w:val="TableContents"/>
              <w:spacing w:before="0" w:after="0"/>
              <w:jc w:val="center"/>
              <w:rPr>
                <w:color w:val="E5E5E5"/>
              </w:rPr>
            </w:pPr>
            <w:r>
              <w:rPr>
                <w:color w:val="E5E5E5"/>
              </w:rPr>
              <w:t>      </w:t>
            </w:r>
            <w:r>
              <w:rPr>
                <w:rFonts w:ascii="arial" w:hAnsi="arial"/>
                <w:b/>
                <w:color w:val="E5E5E5"/>
                <w:sz w:val="16"/>
              </w:rPr>
              <w:t>James H. Roth      </w:t>
            </w:r>
          </w:p>
          <w:p>
            <w:pPr>
              <w:pStyle w:val="TableContents"/>
              <w:spacing w:before="0" w:after="20"/>
              <w:jc w:val="left"/>
              <w:rPr/>
            </w:pPr>
            <w:r>
              <w:rPr/>
              <w:t> </w:t>
            </w:r>
          </w:p>
        </w:tc>
        <w:tc>
          <w:tcPr>
            <w:tcW w:w="109" w:type="dxa"/>
            <w:tcBorders/>
            <w:shd w:fill="00548B" w:val="clear"/>
            <w:vAlign w:val="bottom"/>
          </w:tcPr>
          <w:p>
            <w:pPr>
              <w:pStyle w:val="TableContents"/>
              <w:spacing w:before="0" w:after="283"/>
              <w:rPr/>
            </w:pPr>
            <w:r>
              <w:rPr/>
              <w:t> </w:t>
            </w:r>
          </w:p>
        </w:tc>
        <w:tc>
          <w:tcPr>
            <w:tcW w:w="1662" w:type="dxa"/>
            <w:tcBorders/>
            <w:shd w:fill="00548B" w:val="clear"/>
            <w:vAlign w:val="bottom"/>
          </w:tcPr>
          <w:p>
            <w:pPr>
              <w:pStyle w:val="TableContents"/>
              <w:spacing w:before="0" w:after="0"/>
              <w:rPr/>
            </w:pPr>
            <w:r>
              <w:rPr/>
              <w:t> </w:t>
            </w:r>
          </w:p>
          <w:p>
            <w:pPr>
              <w:pStyle w:val="TableContents"/>
              <w:spacing w:before="0" w:after="0"/>
              <w:jc w:val="center"/>
              <w:rPr>
                <w:color w:val="E5E5E5"/>
              </w:rPr>
            </w:pPr>
            <w:r>
              <w:rPr>
                <w:color w:val="E5E5E5"/>
              </w:rPr>
              <w:t>    </w:t>
            </w:r>
            <w:r>
              <w:rPr>
                <w:rFonts w:ascii="arial" w:hAnsi="arial"/>
                <w:b/>
                <w:color w:val="E5E5E5"/>
                <w:sz w:val="16"/>
              </w:rPr>
              <w:t>C. Mark Hussey    </w:t>
            </w:r>
          </w:p>
          <w:p>
            <w:pPr>
              <w:pStyle w:val="TableContents"/>
              <w:spacing w:before="0" w:after="20"/>
              <w:jc w:val="left"/>
              <w:rPr/>
            </w:pPr>
            <w:r>
              <w:rPr/>
              <w:t> </w:t>
            </w:r>
          </w:p>
        </w:tc>
        <w:tc>
          <w:tcPr>
            <w:tcW w:w="109" w:type="dxa"/>
            <w:tcBorders/>
            <w:shd w:fill="00548B" w:val="clear"/>
            <w:vAlign w:val="bottom"/>
          </w:tcPr>
          <w:p>
            <w:pPr>
              <w:pStyle w:val="TableContents"/>
              <w:spacing w:before="0" w:after="283"/>
              <w:rPr/>
            </w:pPr>
            <w:r>
              <w:rPr/>
              <w:t> </w:t>
            </w:r>
          </w:p>
        </w:tc>
        <w:tc>
          <w:tcPr>
            <w:tcW w:w="1701" w:type="dxa"/>
            <w:tcBorders/>
            <w:shd w:fill="00548B" w:val="clear"/>
            <w:vAlign w:val="bottom"/>
          </w:tcPr>
          <w:p>
            <w:pPr>
              <w:pStyle w:val="TableContents"/>
              <w:spacing w:before="0" w:after="0"/>
              <w:rPr/>
            </w:pPr>
            <w:r>
              <w:rPr/>
              <w:t> </w:t>
            </w:r>
          </w:p>
          <w:p>
            <w:pPr>
              <w:pStyle w:val="TableContents"/>
              <w:spacing w:before="0" w:after="0"/>
              <w:jc w:val="center"/>
              <w:rPr>
                <w:color w:val="E5E5E5"/>
              </w:rPr>
            </w:pPr>
            <w:r>
              <w:rPr>
                <w:color w:val="E5E5E5"/>
              </w:rPr>
              <w:t>      </w:t>
            </w:r>
            <w:r>
              <w:rPr>
                <w:rFonts w:ascii="arial" w:hAnsi="arial"/>
                <w:b/>
                <w:color w:val="E5E5E5"/>
                <w:sz w:val="16"/>
              </w:rPr>
              <w:t>John D. Kelly      </w:t>
            </w:r>
          </w:p>
          <w:p>
            <w:pPr>
              <w:pStyle w:val="TableContents"/>
              <w:spacing w:before="0" w:after="20"/>
              <w:jc w:val="left"/>
              <w:rPr/>
            </w:pPr>
            <w:r>
              <w:rPr/>
              <w:t> </w:t>
            </w:r>
          </w:p>
        </w:tc>
        <w:tc>
          <w:tcPr>
            <w:tcW w:w="109" w:type="dxa"/>
            <w:tcBorders/>
            <w:shd w:fill="00548B" w:val="clear"/>
            <w:vAlign w:val="bottom"/>
          </w:tcPr>
          <w:p>
            <w:pPr>
              <w:pStyle w:val="TableContents"/>
              <w:spacing w:before="0" w:after="283"/>
              <w:rPr/>
            </w:pPr>
            <w:r>
              <w:rPr/>
              <w:t> </w:t>
            </w:r>
          </w:p>
        </w:tc>
        <w:tc>
          <w:tcPr>
            <w:tcW w:w="2258" w:type="dxa"/>
            <w:tcBorders/>
            <w:shd w:fill="00548B" w:val="clear"/>
            <w:vAlign w:val="bottom"/>
          </w:tcPr>
          <w:p>
            <w:pPr>
              <w:pStyle w:val="TableContents"/>
              <w:spacing w:before="0" w:after="0"/>
              <w:rPr/>
            </w:pPr>
            <w:r>
              <w:rPr/>
              <w:t> </w:t>
            </w:r>
          </w:p>
          <w:p>
            <w:pPr>
              <w:pStyle w:val="TableContents"/>
              <w:spacing w:before="0" w:after="0"/>
              <w:jc w:val="center"/>
              <w:rPr>
                <w:color w:val="E5E5E5"/>
              </w:rPr>
            </w:pPr>
            <w:r>
              <w:rPr>
                <w:color w:val="E5E5E5"/>
              </w:rPr>
              <w:t>      </w:t>
            </w:r>
            <w:r>
              <w:rPr>
                <w:rFonts w:ascii="arial" w:hAnsi="arial"/>
                <w:b/>
                <w:color w:val="E5E5E5"/>
                <w:sz w:val="16"/>
              </w:rPr>
              <w:t>Ernest W. Torain, Jr.      </w:t>
            </w:r>
          </w:p>
          <w:p>
            <w:pPr>
              <w:pStyle w:val="TableContents"/>
              <w:spacing w:before="0" w:after="20"/>
              <w:jc w:val="left"/>
              <w:rPr/>
            </w:pPr>
            <w:r>
              <w:rPr/>
              <w:t> </w:t>
            </w:r>
          </w:p>
        </w:tc>
      </w:tr>
      <w:tr>
        <w:trPr/>
        <w:tc>
          <w:tcPr>
            <w:tcW w:w="2335"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Base Salary</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1813" w:type="dxa"/>
            <w:tcBorders>
              <w:bottom w:val="single" w:sz="2" w:space="0" w:color="999999"/>
            </w:tcBorders>
            <w:shd w:fill="auto" w:val="clear"/>
            <w:tcMar>
              <w:bottom w:w="28" w:type="dxa"/>
            </w:tcMar>
          </w:tcPr>
          <w:p>
            <w:pPr>
              <w:pStyle w:val="TableContents"/>
              <w:spacing w:before="0" w:after="283"/>
              <w:jc w:val="center"/>
              <w:rPr>
                <w:rFonts w:ascii="ARIAL" w:hAnsi="ARIAL"/>
              </w:rPr>
            </w:pPr>
            <w:r>
              <w:rPr>
                <w:rFonts w:ascii="ARIAL" w:hAnsi="ARIAL"/>
              </w:rPr>
              <w:t>$950,000</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1662"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$800,000</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1701"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$525,000</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2258"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$360,000</w:t>
            </w:r>
          </w:p>
        </w:tc>
      </w:tr>
      <w:tr>
        <w:trPr/>
        <w:tc>
          <w:tcPr>
            <w:tcW w:w="2335"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Target AIP Opportunity</w:t>
            </w:r>
          </w:p>
          <w:p>
            <w:pPr>
              <w:pStyle w:val="TableContents"/>
              <w:spacing w:before="0" w:after="20"/>
              <w:rPr>
                <w:rFonts w:ascii="arial" w:hAnsi="arial"/>
                <w:sz w:val="18"/>
              </w:rPr>
            </w:pPr>
            <w:r>
              <w:rPr>
                <w:rFonts w:ascii="arial" w:hAnsi="arial"/>
                <w:sz w:val="18"/>
              </w:rPr>
              <w:t>(% of Salary)</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1813" w:type="dxa"/>
            <w:tcBorders>
              <w:bottom w:val="single" w:sz="2" w:space="0" w:color="999999"/>
            </w:tcBorders>
            <w:shd w:fill="auto" w:val="clear"/>
            <w:tcMar>
              <w:bottom w:w="28" w:type="dxa"/>
            </w:tcMar>
            <w:vAlign w:val="center"/>
          </w:tcPr>
          <w:p>
            <w:pPr>
              <w:pStyle w:val="TableContents"/>
              <w:spacing w:before="0" w:after="283"/>
              <w:jc w:val="center"/>
              <w:rPr>
                <w:rFonts w:ascii="ARIAL" w:hAnsi="ARIAL"/>
              </w:rPr>
            </w:pPr>
            <w:r>
              <w:rPr>
                <w:rFonts w:ascii="ARIAL" w:hAnsi="ARIAL"/>
              </w:rPr>
              <w:t>140%</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1662" w:type="dxa"/>
            <w:tcBorders>
              <w:bottom w:val="single" w:sz="2" w:space="0" w:color="999999"/>
            </w:tcBorders>
            <w:shd w:fill="auto" w:val="clear"/>
            <w:tcMar>
              <w:bottom w:w="28" w:type="dxa"/>
            </w:tcMar>
            <w:vAlign w:val="center"/>
          </w:tcPr>
          <w:p>
            <w:pPr>
              <w:pStyle w:val="TableContents"/>
              <w:spacing w:before="0" w:after="283"/>
              <w:jc w:val="center"/>
              <w:rPr>
                <w:rFonts w:ascii="ARIAL" w:hAnsi="ARIAL"/>
              </w:rPr>
            </w:pPr>
            <w:r>
              <w:rPr>
                <w:rFonts w:ascii="ARIAL" w:hAnsi="ARIAL"/>
              </w:rPr>
              <w:t>100%</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1701" w:type="dxa"/>
            <w:tcBorders>
              <w:bottom w:val="single" w:sz="2" w:space="0" w:color="999999"/>
            </w:tcBorders>
            <w:shd w:fill="auto" w:val="clear"/>
            <w:tcMar>
              <w:bottom w:w="28" w:type="dxa"/>
            </w:tcMar>
            <w:vAlign w:val="center"/>
          </w:tcPr>
          <w:p>
            <w:pPr>
              <w:pStyle w:val="TableContents"/>
              <w:spacing w:before="0" w:after="283"/>
              <w:jc w:val="center"/>
              <w:rPr>
                <w:rFonts w:ascii="ARIAL" w:hAnsi="ARIAL"/>
              </w:rPr>
            </w:pPr>
            <w:r>
              <w:rPr>
                <w:rFonts w:ascii="ARIAL" w:hAnsi="ARIAL"/>
              </w:rPr>
              <w:t>90%</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2258" w:type="dxa"/>
            <w:tcBorders>
              <w:bottom w:val="single" w:sz="2" w:space="0" w:color="999999"/>
            </w:tcBorders>
            <w:shd w:fill="auto" w:val="clear"/>
            <w:tcMar>
              <w:bottom w:w="28" w:type="dxa"/>
            </w:tcMar>
            <w:vAlign w:val="center"/>
          </w:tcPr>
          <w:p>
            <w:pPr>
              <w:pStyle w:val="TableContents"/>
              <w:spacing w:before="0" w:after="283"/>
              <w:jc w:val="center"/>
              <w:rPr>
                <w:rFonts w:ascii="ARIAL" w:hAnsi="ARIAL"/>
              </w:rPr>
            </w:pPr>
            <w:r>
              <w:rPr>
                <w:rFonts w:ascii="ARIAL" w:hAnsi="ARIAL"/>
              </w:rPr>
              <w:t>50%</w:t>
            </w:r>
          </w:p>
        </w:tc>
      </w:tr>
      <w:tr>
        <w:trPr/>
        <w:tc>
          <w:tcPr>
            <w:tcW w:w="2335" w:type="dxa"/>
            <w:tcBorders>
              <w:bottom w:val="single" w:sz="2" w:space="0" w:color="00548B"/>
            </w:tcBorders>
            <w:shd w:fill="auto" w:val="clear"/>
            <w:tcMar>
              <w:bottom w:w="28" w:type="dxa"/>
            </w:tcMar>
          </w:tcPr>
          <w:p>
            <w:pPr>
              <w:pStyle w:val="TableContents"/>
              <w:spacing w:before="0" w:after="0"/>
              <w:rPr>
                <w:rFonts w:ascii="arial" w:hAnsi="arial"/>
                <w:sz w:val="18"/>
              </w:rPr>
            </w:pPr>
            <w:r>
              <w:rPr>
                <w:rFonts w:ascii="arial" w:hAnsi="arial"/>
                <w:sz w:val="18"/>
              </w:rPr>
              <w:t>Target LTI Opportunity</w:t>
            </w:r>
          </w:p>
          <w:p>
            <w:pPr>
              <w:pStyle w:val="TableContents"/>
              <w:spacing w:before="0" w:after="20"/>
              <w:rPr>
                <w:rFonts w:ascii="arial" w:hAnsi="arial"/>
                <w:sz w:val="18"/>
              </w:rPr>
            </w:pPr>
            <w:r>
              <w:rPr>
                <w:rFonts w:ascii="arial" w:hAnsi="arial"/>
                <w:sz w:val="18"/>
              </w:rPr>
              <w:t>(% of Salary)</w:t>
            </w:r>
          </w:p>
        </w:tc>
        <w:tc>
          <w:tcPr>
            <w:tcW w:w="109" w:type="dxa"/>
            <w:tcBorders>
              <w:bottom w:val="single" w:sz="2" w:space="0" w:color="00548B"/>
            </w:tcBorders>
            <w:shd w:fill="auto" w:val="clear"/>
            <w:tcMar>
              <w:bottom w:w="28" w:type="dxa"/>
            </w:tcMar>
            <w:vAlign w:val="bottom"/>
          </w:tcPr>
          <w:p>
            <w:pPr>
              <w:pStyle w:val="TableContents"/>
              <w:spacing w:before="0" w:after="283"/>
              <w:rPr/>
            </w:pPr>
            <w:r>
              <w:rPr/>
              <w:t> </w:t>
            </w:r>
          </w:p>
        </w:tc>
        <w:tc>
          <w:tcPr>
            <w:tcW w:w="1813" w:type="dxa"/>
            <w:tcBorders>
              <w:bottom w:val="single" w:sz="2" w:space="0" w:color="00548B"/>
            </w:tcBorders>
            <w:shd w:fill="auto" w:val="clear"/>
            <w:tcMar>
              <w:bottom w:w="28" w:type="dxa"/>
            </w:tcMar>
            <w:vAlign w:val="center"/>
          </w:tcPr>
          <w:p>
            <w:pPr>
              <w:pStyle w:val="TableContents"/>
              <w:spacing w:before="0" w:after="283"/>
              <w:jc w:val="center"/>
              <w:rPr>
                <w:rFonts w:ascii="ARIAL" w:hAnsi="ARIAL"/>
              </w:rPr>
            </w:pPr>
            <w:r>
              <w:rPr>
                <w:rFonts w:ascii="ARIAL" w:hAnsi="ARIAL"/>
              </w:rPr>
              <w:t>225%</w:t>
            </w:r>
          </w:p>
        </w:tc>
        <w:tc>
          <w:tcPr>
            <w:tcW w:w="109" w:type="dxa"/>
            <w:tcBorders>
              <w:bottom w:val="single" w:sz="2" w:space="0" w:color="00548B"/>
            </w:tcBorders>
            <w:shd w:fill="auto" w:val="clear"/>
            <w:tcMar>
              <w:bottom w:w="28" w:type="dxa"/>
            </w:tcMar>
            <w:vAlign w:val="bottom"/>
          </w:tcPr>
          <w:p>
            <w:pPr>
              <w:pStyle w:val="TableContents"/>
              <w:spacing w:before="0" w:after="283"/>
              <w:rPr/>
            </w:pPr>
            <w:r>
              <w:rPr/>
              <w:t> </w:t>
            </w:r>
          </w:p>
        </w:tc>
        <w:tc>
          <w:tcPr>
            <w:tcW w:w="1662" w:type="dxa"/>
            <w:tcBorders>
              <w:bottom w:val="single" w:sz="2" w:space="0" w:color="00548B"/>
            </w:tcBorders>
            <w:shd w:fill="auto" w:val="clear"/>
            <w:tcMar>
              <w:bottom w:w="28" w:type="dxa"/>
            </w:tcMar>
            <w:vAlign w:val="center"/>
          </w:tcPr>
          <w:p>
            <w:pPr>
              <w:pStyle w:val="TableContents"/>
              <w:spacing w:before="0" w:after="283"/>
              <w:jc w:val="center"/>
              <w:rPr>
                <w:rFonts w:ascii="ARIAL" w:hAnsi="ARIAL"/>
              </w:rPr>
            </w:pPr>
            <w:r>
              <w:rPr>
                <w:rFonts w:ascii="ARIAL" w:hAnsi="ARIAL"/>
              </w:rPr>
              <w:t>175%</w:t>
            </w:r>
          </w:p>
        </w:tc>
        <w:tc>
          <w:tcPr>
            <w:tcW w:w="109" w:type="dxa"/>
            <w:tcBorders>
              <w:bottom w:val="single" w:sz="2" w:space="0" w:color="00548B"/>
            </w:tcBorders>
            <w:shd w:fill="auto" w:val="clear"/>
            <w:tcMar>
              <w:bottom w:w="28" w:type="dxa"/>
            </w:tcMar>
            <w:vAlign w:val="bottom"/>
          </w:tcPr>
          <w:p>
            <w:pPr>
              <w:pStyle w:val="TableContents"/>
              <w:spacing w:before="0" w:after="283"/>
              <w:rPr/>
            </w:pPr>
            <w:r>
              <w:rPr/>
              <w:t> </w:t>
            </w:r>
          </w:p>
        </w:tc>
        <w:tc>
          <w:tcPr>
            <w:tcW w:w="1701" w:type="dxa"/>
            <w:tcBorders>
              <w:bottom w:val="single" w:sz="2" w:space="0" w:color="00548B"/>
            </w:tcBorders>
            <w:shd w:fill="auto" w:val="clear"/>
            <w:tcMar>
              <w:bottom w:w="28" w:type="dxa"/>
            </w:tcMar>
            <w:vAlign w:val="center"/>
          </w:tcPr>
          <w:p>
            <w:pPr>
              <w:pStyle w:val="TableContents"/>
              <w:spacing w:before="0" w:after="283"/>
              <w:jc w:val="center"/>
              <w:rPr>
                <w:rFonts w:ascii="ARIAL" w:hAnsi="ARIAL"/>
              </w:rPr>
            </w:pPr>
            <w:r>
              <w:rPr>
                <w:rFonts w:ascii="ARIAL" w:hAnsi="ARIAL"/>
              </w:rPr>
              <w:t>150%</w:t>
            </w:r>
          </w:p>
        </w:tc>
        <w:tc>
          <w:tcPr>
            <w:tcW w:w="109" w:type="dxa"/>
            <w:tcBorders>
              <w:bottom w:val="single" w:sz="2" w:space="0" w:color="00548B"/>
            </w:tcBorders>
            <w:shd w:fill="auto" w:val="clear"/>
            <w:tcMar>
              <w:bottom w:w="28" w:type="dxa"/>
            </w:tcMar>
            <w:vAlign w:val="bottom"/>
          </w:tcPr>
          <w:p>
            <w:pPr>
              <w:pStyle w:val="TableContents"/>
              <w:spacing w:before="0" w:after="283"/>
              <w:rPr/>
            </w:pPr>
            <w:r>
              <w:rPr/>
              <w:t> </w:t>
            </w:r>
          </w:p>
        </w:tc>
        <w:tc>
          <w:tcPr>
            <w:tcW w:w="2258" w:type="dxa"/>
            <w:tcBorders>
              <w:bottom w:val="single" w:sz="2" w:space="0" w:color="00548B"/>
            </w:tcBorders>
            <w:shd w:fill="auto" w:val="clear"/>
            <w:tcMar>
              <w:bottom w:w="28" w:type="dxa"/>
            </w:tcMar>
            <w:vAlign w:val="center"/>
          </w:tcPr>
          <w:p>
            <w:pPr>
              <w:pStyle w:val="TableContents"/>
              <w:spacing w:before="0" w:after="283"/>
              <w:jc w:val="center"/>
              <w:rPr>
                <w:rFonts w:ascii="ARIAL" w:hAnsi="ARIAL"/>
              </w:rPr>
            </w:pPr>
            <w:r>
              <w:rPr>
                <w:rFonts w:ascii="ARIAL" w:hAnsi="ARIAL"/>
              </w:rPr>
              <w:t>90%</w:t>
            </w:r>
          </w:p>
        </w:tc>
      </w:tr>
    </w:tbl>
    <w:p>
      <w:pPr>
        <w:pStyle w:val="TextBody"/>
        <w:spacing w:before="200" w:after="0"/>
        <w:jc w:val="both"/>
        <w:rPr>
          <w:rFonts w:ascii="arial" w:hAnsi="arial"/>
          <w:b/>
          <w:i/>
          <w:color w:val="00548B"/>
          <w:sz w:val="18"/>
        </w:rPr>
      </w:pPr>
      <w:r>
        <w:rPr>
          <w:rFonts w:ascii="arial" w:hAnsi="arial"/>
          <w:b/>
          <w:i/>
          <w:color w:val="00548B"/>
          <w:sz w:val="18"/>
        </w:rPr>
        <w:t xml:space="preserve">2020 Annual Incentive </w:t>
      </w:r>
    </w:p>
    <w:p>
      <w:pPr>
        <w:pStyle w:val="TextBody"/>
        <w:spacing w:before="0" w:after="0"/>
        <w:jc w:val="both"/>
        <w:rPr>
          <w:rFonts w:ascii="arial" w:hAnsi="arial"/>
          <w:sz w:val="18"/>
        </w:rPr>
      </w:pPr>
      <w:r>
        <w:rPr>
          <w:rFonts w:ascii="arial" w:hAnsi="arial"/>
          <w:sz w:val="18"/>
        </w:rPr>
        <w:t xml:space="preserve">The financial goals approved by the Committee in February 2020 were consistent with our pre-COVID-19 growth objectives across all of our segments. The impact of COVID-19 on our clients businesses negatively affected demand for our services and made achievement of our financial goals established pre-COVID-19 nearly impossible under the circumstances.. </w:t>
      </w:r>
    </w:p>
    <w:p>
      <w:pPr>
        <w:pStyle w:val="TextBody"/>
        <w:spacing w:before="200" w:after="0"/>
        <w:jc w:val="both"/>
        <w:rPr>
          <w:rFonts w:ascii="arial" w:hAnsi="arial"/>
          <w:sz w:val="18"/>
        </w:rPr>
      </w:pPr>
      <w:r>
        <w:rPr>
          <w:rFonts w:ascii="arial" w:hAnsi="arial"/>
          <w:sz w:val="18"/>
        </w:rPr>
        <w:t xml:space="preserve">While the Strategic Measures the Committee approved in February remain important for our continued success and are a key focus for our NEOs as part of their annual goals, the onset of the pandemic and its impact on our clients, communities, and employees required reprioritization to reflect changing business focus areas and the extraordinary circumstances caused by the pandemic. After the onset of the pandemic, the Committee and management reviewed the original Strategic Measures and the Committee approved updated priorities that reflected repositioning of the NEOs focus in order to preserve shareholder value and position our business for future success. The updated Strategic Measures expanded the goals to incorporate quantitative and qualitative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COVID-19 specific measures while reweighting the original Strategic Measures set in February 2020. After the end of the year, the Committee reviewed performance against the Strategic Measures and determined achievement of 176.7% of target, resulting in a total payout of 35% under the annual incentive plan. These Strategic Measures are detailed below:</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89"/>
        <w:gridCol w:w="120"/>
        <w:gridCol w:w="926"/>
        <w:gridCol w:w="206"/>
        <w:gridCol w:w="926"/>
        <w:gridCol w:w="206"/>
        <w:gridCol w:w="892"/>
        <w:gridCol w:w="206"/>
        <w:gridCol w:w="913"/>
        <w:gridCol w:w="206"/>
        <w:gridCol w:w="891"/>
        <w:gridCol w:w="206"/>
        <w:gridCol w:w="918"/>
      </w:tblGrid>
      <w:tr>
        <w:trPr/>
        <w:tc>
          <w:tcPr>
            <w:tcW w:w="3589"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926"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2"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913"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891" w:type="dxa"/>
            <w:tcBorders/>
            <w:shd w:fill="auto" w:val="clear"/>
            <w:vAlign w:val="center"/>
          </w:tcPr>
          <w:p>
            <w:pPr>
              <w:pStyle w:val="TableContents"/>
              <w:spacing w:before="0" w:after="283"/>
              <w:rPr>
                <w:sz w:val="4"/>
                <w:szCs w:val="4"/>
              </w:rPr>
            </w:pPr>
            <w:r>
              <w:rPr>
                <w:sz w:val="4"/>
                <w:szCs w:val="4"/>
              </w:rPr>
            </w:r>
          </w:p>
        </w:tc>
        <w:tc>
          <w:tcPr>
            <w:tcW w:w="206" w:type="dxa"/>
            <w:tcBorders/>
            <w:shd w:fill="auto" w:val="clear"/>
            <w:vAlign w:val="bottom"/>
          </w:tcPr>
          <w:p>
            <w:pPr>
              <w:pStyle w:val="TableContents"/>
              <w:spacing w:before="0" w:after="283"/>
              <w:rPr>
                <w:sz w:val="4"/>
                <w:szCs w:val="4"/>
              </w:rPr>
            </w:pPr>
            <w:r>
              <w:rPr>
                <w:sz w:val="4"/>
                <w:szCs w:val="4"/>
              </w:rPr>
            </w:r>
          </w:p>
        </w:tc>
        <w:tc>
          <w:tcPr>
            <w:tcW w:w="918" w:type="dxa"/>
            <w:tcBorders/>
            <w:shd w:fill="auto" w:val="clear"/>
            <w:vAlign w:val="center"/>
          </w:tcPr>
          <w:p>
            <w:pPr>
              <w:pStyle w:val="TableContents"/>
              <w:spacing w:before="0" w:after="283"/>
              <w:rPr>
                <w:sz w:val="4"/>
                <w:szCs w:val="4"/>
              </w:rPr>
            </w:pPr>
            <w:r>
              <w:rPr>
                <w:sz w:val="4"/>
                <w:szCs w:val="4"/>
              </w:rPr>
            </w:r>
          </w:p>
        </w:tc>
      </w:tr>
      <w:tr>
        <w:trPr/>
        <w:tc>
          <w:tcPr>
            <w:tcW w:w="3589" w:type="dxa"/>
            <w:tcBorders/>
            <w:shd w:fill="00548B" w:val="clear"/>
            <w:vAlign w:val="bottom"/>
          </w:tcPr>
          <w:p>
            <w:pPr>
              <w:pStyle w:val="TableContents"/>
              <w:spacing w:before="0" w:after="283"/>
              <w:rPr/>
            </w:pPr>
            <w:r>
              <w:rPr/>
              <w:t> </w:t>
            </w:r>
          </w:p>
        </w:tc>
        <w:tc>
          <w:tcPr>
            <w:tcW w:w="120" w:type="dxa"/>
            <w:tcBorders/>
            <w:shd w:fill="00548B" w:val="clear"/>
            <w:vAlign w:val="bottom"/>
          </w:tcPr>
          <w:p>
            <w:pPr>
              <w:pStyle w:val="TableContents"/>
              <w:spacing w:before="0" w:after="283"/>
              <w:rPr/>
            </w:pPr>
            <w:r>
              <w:rPr/>
              <w:t>  </w:t>
            </w:r>
          </w:p>
        </w:tc>
        <w:tc>
          <w:tcPr>
            <w:tcW w:w="6496" w:type="dxa"/>
            <w:gridSpan w:val="11"/>
            <w:tcBorders/>
            <w:shd w:fill="00548B" w:val="clear"/>
            <w:vAlign w:val="bottom"/>
          </w:tcPr>
          <w:p>
            <w:pPr>
              <w:pStyle w:val="TableContents"/>
              <w:spacing w:before="0" w:after="0"/>
              <w:rPr/>
            </w:pPr>
            <w:r>
              <w:rPr/>
              <w:t> </w:t>
            </w:r>
          </w:p>
          <w:p>
            <w:pPr>
              <w:pStyle w:val="TableContents"/>
              <w:spacing w:before="0" w:after="20"/>
              <w:jc w:val="center"/>
              <w:rPr>
                <w:rFonts w:ascii="arial" w:hAnsi="arial"/>
                <w:b/>
                <w:color w:val="D8D8D8"/>
                <w:sz w:val="16"/>
              </w:rPr>
            </w:pPr>
            <w:r>
              <w:rPr>
                <w:rFonts w:ascii="arial" w:hAnsi="arial"/>
                <w:b/>
                <w:color w:val="D8D8D8"/>
                <w:sz w:val="16"/>
              </w:rPr>
              <w:t>2020 Proposed Targets</w:t>
            </w:r>
          </w:p>
        </w:tc>
      </w:tr>
      <w:tr>
        <w:trPr/>
        <w:tc>
          <w:tcPr>
            <w:tcW w:w="3589" w:type="dxa"/>
            <w:tcBorders/>
            <w:shd w:fill="00548B" w:val="clear"/>
            <w:vAlign w:val="bottom"/>
          </w:tcPr>
          <w:p>
            <w:pPr>
              <w:pStyle w:val="TableContents"/>
              <w:spacing w:before="0" w:after="0"/>
              <w:rPr/>
            </w:pPr>
            <w:r>
              <w:rPr/>
              <w:t> </w:t>
            </w:r>
          </w:p>
          <w:p>
            <w:pPr>
              <w:pStyle w:val="TableContents"/>
              <w:spacing w:before="0" w:after="0"/>
              <w:rPr>
                <w:rFonts w:ascii="arial" w:hAnsi="arial"/>
                <w:b/>
                <w:color w:val="E5E5E5"/>
                <w:sz w:val="16"/>
              </w:rPr>
            </w:pPr>
            <w:r>
              <w:rPr>
                <w:rFonts w:ascii="arial" w:hAnsi="arial"/>
                <w:b/>
                <w:color w:val="E5E5E5"/>
                <w:sz w:val="16"/>
              </w:rPr>
              <w:t>Performance Measure</w:t>
            </w:r>
          </w:p>
          <w:p>
            <w:pPr>
              <w:pStyle w:val="TableContents"/>
              <w:spacing w:before="0" w:after="20"/>
              <w:rPr/>
            </w:pPr>
            <w:r>
              <w:rPr/>
              <w:t> </w:t>
            </w:r>
          </w:p>
        </w:tc>
        <w:tc>
          <w:tcPr>
            <w:tcW w:w="120" w:type="dxa"/>
            <w:tcBorders/>
            <w:shd w:fill="00548B" w:val="clear"/>
            <w:vAlign w:val="bottom"/>
          </w:tcPr>
          <w:p>
            <w:pPr>
              <w:pStyle w:val="TableContents"/>
              <w:spacing w:before="0" w:after="283"/>
              <w:rPr/>
            </w:pPr>
            <w:r>
              <w:rPr/>
              <w:t>  </w:t>
            </w:r>
          </w:p>
        </w:tc>
        <w:tc>
          <w:tcPr>
            <w:tcW w:w="926" w:type="dxa"/>
            <w:tcBorders/>
            <w:shd w:fill="00548B" w:val="clear"/>
            <w:vAlign w:val="bottom"/>
          </w:tcPr>
          <w:p>
            <w:pPr>
              <w:pStyle w:val="TableContents"/>
              <w:spacing w:before="0" w:after="0"/>
              <w:jc w:val="center"/>
              <w:rPr>
                <w:rFonts w:ascii="arial" w:hAnsi="arial"/>
                <w:b/>
                <w:color w:val="E5E5E5"/>
                <w:sz w:val="16"/>
              </w:rPr>
            </w:pPr>
            <w:r>
              <w:rPr>
                <w:rFonts w:ascii="arial" w:hAnsi="arial"/>
                <w:b/>
                <w:color w:val="E5E5E5"/>
                <w:sz w:val="16"/>
              </w:rPr>
              <w:t>Weighting</w:t>
            </w:r>
          </w:p>
          <w:p>
            <w:pPr>
              <w:pStyle w:val="TableContents"/>
              <w:spacing w:before="0" w:after="20"/>
              <w:jc w:val="left"/>
              <w:rPr/>
            </w:pPr>
            <w:r>
              <w:rPr/>
              <w:t> </w:t>
            </w:r>
          </w:p>
        </w:tc>
        <w:tc>
          <w:tcPr>
            <w:tcW w:w="206" w:type="dxa"/>
            <w:tcBorders/>
            <w:shd w:fill="00548B" w:val="clear"/>
            <w:vAlign w:val="bottom"/>
          </w:tcPr>
          <w:p>
            <w:pPr>
              <w:pStyle w:val="TableContents"/>
              <w:spacing w:before="0" w:after="283"/>
              <w:rPr/>
            </w:pPr>
            <w:r>
              <w:rPr/>
              <w:t>  </w:t>
            </w:r>
          </w:p>
        </w:tc>
        <w:tc>
          <w:tcPr>
            <w:tcW w:w="926" w:type="dxa"/>
            <w:tcBorders/>
            <w:shd w:fill="00548B" w:val="clear"/>
            <w:vAlign w:val="bottom"/>
          </w:tcPr>
          <w:p>
            <w:pPr>
              <w:pStyle w:val="TableContents"/>
              <w:spacing w:before="0" w:after="0"/>
              <w:jc w:val="center"/>
              <w:rPr>
                <w:rFonts w:ascii="arial" w:hAnsi="arial"/>
                <w:b/>
                <w:color w:val="E5E5E5"/>
                <w:sz w:val="16"/>
              </w:rPr>
            </w:pPr>
            <w:r>
              <w:rPr>
                <w:rFonts w:ascii="arial" w:hAnsi="arial"/>
                <w:b/>
                <w:color w:val="E5E5E5"/>
                <w:sz w:val="16"/>
              </w:rPr>
              <w:t>Threshold</w:t>
            </w:r>
          </w:p>
          <w:p>
            <w:pPr>
              <w:pStyle w:val="TableContents"/>
              <w:spacing w:before="0" w:after="20"/>
              <w:jc w:val="left"/>
              <w:rPr/>
            </w:pPr>
            <w:r>
              <w:rPr/>
              <w:t> </w:t>
            </w:r>
          </w:p>
        </w:tc>
        <w:tc>
          <w:tcPr>
            <w:tcW w:w="206" w:type="dxa"/>
            <w:tcBorders/>
            <w:shd w:fill="00548B" w:val="clear"/>
            <w:vAlign w:val="bottom"/>
          </w:tcPr>
          <w:p>
            <w:pPr>
              <w:pStyle w:val="TableContents"/>
              <w:spacing w:before="0" w:after="283"/>
              <w:rPr/>
            </w:pPr>
            <w:r>
              <w:rPr/>
              <w:t>  </w:t>
            </w:r>
          </w:p>
        </w:tc>
        <w:tc>
          <w:tcPr>
            <w:tcW w:w="892" w:type="dxa"/>
            <w:tcBorders/>
            <w:shd w:fill="00548B" w:val="clear"/>
            <w:vAlign w:val="bottom"/>
          </w:tcPr>
          <w:p>
            <w:pPr>
              <w:pStyle w:val="TableContents"/>
              <w:spacing w:before="0" w:after="0"/>
              <w:jc w:val="center"/>
              <w:rPr>
                <w:rFonts w:ascii="arial" w:hAnsi="arial"/>
                <w:b/>
                <w:color w:val="E5E5E5"/>
                <w:sz w:val="16"/>
              </w:rPr>
            </w:pPr>
            <w:r>
              <w:rPr>
                <w:rFonts w:ascii="arial" w:hAnsi="arial"/>
                <w:b/>
                <w:color w:val="E5E5E5"/>
                <w:sz w:val="16"/>
              </w:rPr>
              <w:t>Target</w:t>
            </w:r>
          </w:p>
          <w:p>
            <w:pPr>
              <w:pStyle w:val="TableContents"/>
              <w:spacing w:before="0" w:after="20"/>
              <w:jc w:val="left"/>
              <w:rPr/>
            </w:pPr>
            <w:r>
              <w:rPr/>
              <w:t> </w:t>
            </w:r>
          </w:p>
        </w:tc>
        <w:tc>
          <w:tcPr>
            <w:tcW w:w="206" w:type="dxa"/>
            <w:tcBorders/>
            <w:shd w:fill="00548B" w:val="clear"/>
            <w:vAlign w:val="bottom"/>
          </w:tcPr>
          <w:p>
            <w:pPr>
              <w:pStyle w:val="TableContents"/>
              <w:spacing w:before="0" w:after="283"/>
              <w:rPr/>
            </w:pPr>
            <w:r>
              <w:rPr/>
              <w:t>  </w:t>
            </w:r>
          </w:p>
        </w:tc>
        <w:tc>
          <w:tcPr>
            <w:tcW w:w="913" w:type="dxa"/>
            <w:tcBorders/>
            <w:shd w:fill="00548B" w:val="clear"/>
            <w:vAlign w:val="bottom"/>
          </w:tcPr>
          <w:p>
            <w:pPr>
              <w:pStyle w:val="TableContents"/>
              <w:spacing w:before="0" w:after="0"/>
              <w:jc w:val="center"/>
              <w:rPr>
                <w:rFonts w:ascii="arial" w:hAnsi="arial"/>
                <w:b/>
                <w:color w:val="E5E5E5"/>
                <w:sz w:val="16"/>
              </w:rPr>
            </w:pPr>
            <w:r>
              <w:rPr>
                <w:rFonts w:ascii="arial" w:hAnsi="arial"/>
                <w:b/>
                <w:color w:val="E5E5E5"/>
                <w:sz w:val="16"/>
              </w:rPr>
              <w:t>Maximum</w:t>
            </w:r>
          </w:p>
          <w:p>
            <w:pPr>
              <w:pStyle w:val="TableContents"/>
              <w:spacing w:before="0" w:after="20"/>
              <w:jc w:val="left"/>
              <w:rPr/>
            </w:pPr>
            <w:r>
              <w:rPr/>
              <w:t> </w:t>
            </w:r>
          </w:p>
        </w:tc>
        <w:tc>
          <w:tcPr>
            <w:tcW w:w="206" w:type="dxa"/>
            <w:tcBorders/>
            <w:shd w:fill="00548B" w:val="clear"/>
            <w:vAlign w:val="bottom"/>
          </w:tcPr>
          <w:p>
            <w:pPr>
              <w:pStyle w:val="TableContents"/>
              <w:spacing w:before="0" w:after="283"/>
              <w:rPr/>
            </w:pPr>
            <w:r>
              <w:rPr/>
              <w:t>  </w:t>
            </w:r>
          </w:p>
        </w:tc>
        <w:tc>
          <w:tcPr>
            <w:tcW w:w="891" w:type="dxa"/>
            <w:tcBorders/>
            <w:shd w:fill="00548B" w:val="clear"/>
            <w:vAlign w:val="bottom"/>
          </w:tcPr>
          <w:p>
            <w:pPr>
              <w:pStyle w:val="TableContents"/>
              <w:spacing w:before="0" w:after="0"/>
              <w:jc w:val="center"/>
              <w:rPr>
                <w:rFonts w:ascii="arial" w:hAnsi="arial"/>
                <w:b/>
                <w:color w:val="E5E5E5"/>
                <w:sz w:val="16"/>
              </w:rPr>
            </w:pPr>
            <w:r>
              <w:rPr>
                <w:rFonts w:ascii="arial" w:hAnsi="arial"/>
                <w:b/>
                <w:color w:val="E5E5E5"/>
                <w:sz w:val="16"/>
              </w:rPr>
              <w:t>Actual</w:t>
            </w:r>
          </w:p>
          <w:p>
            <w:pPr>
              <w:pStyle w:val="TableContents"/>
              <w:spacing w:before="0" w:after="20"/>
              <w:jc w:val="left"/>
              <w:rPr/>
            </w:pPr>
            <w:r>
              <w:rPr/>
              <w:t> </w:t>
            </w:r>
          </w:p>
        </w:tc>
        <w:tc>
          <w:tcPr>
            <w:tcW w:w="206" w:type="dxa"/>
            <w:tcBorders/>
            <w:shd w:fill="00548B" w:val="clear"/>
            <w:vAlign w:val="bottom"/>
          </w:tcPr>
          <w:p>
            <w:pPr>
              <w:pStyle w:val="TableContents"/>
              <w:spacing w:before="0" w:after="283"/>
              <w:rPr/>
            </w:pPr>
            <w:r>
              <w:rPr/>
              <w:t>  </w:t>
            </w:r>
          </w:p>
        </w:tc>
        <w:tc>
          <w:tcPr>
            <w:tcW w:w="918" w:type="dxa"/>
            <w:tcBorders/>
            <w:shd w:fill="00548B" w:val="clear"/>
            <w:vAlign w:val="bottom"/>
          </w:tcPr>
          <w:p>
            <w:pPr>
              <w:pStyle w:val="TableContents"/>
              <w:spacing w:before="0" w:after="0"/>
              <w:jc w:val="center"/>
              <w:rPr>
                <w:rFonts w:ascii="arial" w:hAnsi="arial"/>
                <w:b/>
                <w:color w:val="E5E5E5"/>
                <w:sz w:val="16"/>
              </w:rPr>
            </w:pPr>
            <w:r>
              <w:rPr>
                <w:rFonts w:ascii="arial" w:hAnsi="arial"/>
                <w:b/>
                <w:color w:val="E5E5E5"/>
                <w:sz w:val="16"/>
              </w:rPr>
              <w:t>Payout %</w:t>
              <w:br/>
              <w:t>of Target</w:t>
            </w:r>
          </w:p>
          <w:p>
            <w:pPr>
              <w:pStyle w:val="TableContents"/>
              <w:spacing w:before="0" w:after="20"/>
              <w:jc w:val="left"/>
              <w:rPr/>
            </w:pPr>
            <w:r>
              <w:rPr/>
              <w:t> </w:t>
            </w:r>
          </w:p>
        </w:tc>
      </w:tr>
      <w:tr>
        <w:trPr/>
        <w:tc>
          <w:tcPr>
            <w:tcW w:w="3589" w:type="dxa"/>
            <w:tcBorders>
              <w:bottom w:val="single" w:sz="2" w:space="0" w:color="AAAAAA"/>
            </w:tcBorders>
            <w:shd w:fill="auto" w:val="clear"/>
            <w:tcMar>
              <w:bottom w:w="28" w:type="dxa"/>
            </w:tcMar>
          </w:tcPr>
          <w:p>
            <w:pPr>
              <w:pStyle w:val="TableContents"/>
              <w:spacing w:before="0" w:after="0"/>
              <w:rPr>
                <w:rFonts w:ascii="arial" w:hAnsi="arial"/>
                <w:sz w:val="18"/>
              </w:rPr>
            </w:pPr>
            <w:r>
              <w:rPr>
                <w:rFonts w:ascii="arial" w:hAnsi="arial"/>
                <w:sz w:val="18"/>
              </w:rPr>
              <w:t>Organic Revenue Growth</w:t>
            </w:r>
          </w:p>
        </w:tc>
        <w:tc>
          <w:tcPr>
            <w:tcW w:w="120" w:type="dxa"/>
            <w:tcBorders>
              <w:bottom w:val="single" w:sz="2" w:space="0" w:color="AAAAAA"/>
            </w:tcBorders>
            <w:shd w:fill="auto" w:val="clear"/>
            <w:tcMar>
              <w:bottom w:w="28" w:type="dxa"/>
            </w:tcMar>
            <w:vAlign w:val="bottom"/>
          </w:tcPr>
          <w:p>
            <w:pPr>
              <w:pStyle w:val="TableContents"/>
              <w:spacing w:before="0" w:after="283"/>
              <w:rPr/>
            </w:pPr>
            <w:r>
              <w:rPr/>
              <w:t>  </w:t>
            </w:r>
          </w:p>
        </w:tc>
        <w:tc>
          <w:tcPr>
            <w:tcW w:w="926" w:type="dxa"/>
            <w:tcBorders>
              <w:bottom w:val="single" w:sz="2" w:space="0" w:color="AAAAAA"/>
            </w:tcBorders>
            <w:shd w:fill="auto" w:val="clear"/>
            <w:tcMar>
              <w:bottom w:w="28" w:type="dxa"/>
            </w:tcMar>
            <w:vAlign w:val="bottom"/>
          </w:tcPr>
          <w:p>
            <w:pPr>
              <w:pStyle w:val="TableContents"/>
              <w:spacing w:before="0" w:after="283"/>
              <w:jc w:val="center"/>
              <w:rPr/>
            </w:pPr>
            <w:r>
              <w:rPr/>
              <w:t>40%</w:t>
            </w:r>
          </w:p>
        </w:tc>
        <w:tc>
          <w:tcPr>
            <w:tcW w:w="206" w:type="dxa"/>
            <w:tcBorders>
              <w:bottom w:val="single" w:sz="2" w:space="0" w:color="AAAAAA"/>
            </w:tcBorders>
            <w:shd w:fill="auto" w:val="clear"/>
            <w:tcMar>
              <w:bottom w:w="28" w:type="dxa"/>
            </w:tcMar>
            <w:vAlign w:val="bottom"/>
          </w:tcPr>
          <w:p>
            <w:pPr>
              <w:pStyle w:val="TableContents"/>
              <w:spacing w:before="0" w:after="283"/>
              <w:rPr/>
            </w:pPr>
            <w:r>
              <w:rPr/>
              <w:t>  </w:t>
            </w:r>
          </w:p>
        </w:tc>
        <w:tc>
          <w:tcPr>
            <w:tcW w:w="926" w:type="dxa"/>
            <w:tcBorders>
              <w:bottom w:val="single" w:sz="2" w:space="0" w:color="AAAAAA"/>
            </w:tcBorders>
            <w:shd w:fill="auto" w:val="clear"/>
            <w:tcMar>
              <w:bottom w:w="28" w:type="dxa"/>
            </w:tcMar>
            <w:vAlign w:val="bottom"/>
          </w:tcPr>
          <w:p>
            <w:pPr>
              <w:pStyle w:val="TableContents"/>
              <w:spacing w:before="0" w:after="283"/>
              <w:jc w:val="center"/>
              <w:rPr/>
            </w:pPr>
            <w:r>
              <w:rPr/>
              <w:t>$890M</w:t>
            </w:r>
          </w:p>
        </w:tc>
        <w:tc>
          <w:tcPr>
            <w:tcW w:w="206" w:type="dxa"/>
            <w:tcBorders>
              <w:bottom w:val="single" w:sz="2" w:space="0" w:color="AAAAAA"/>
            </w:tcBorders>
            <w:shd w:fill="auto" w:val="clear"/>
            <w:tcMar>
              <w:bottom w:w="28" w:type="dxa"/>
            </w:tcMar>
            <w:vAlign w:val="bottom"/>
          </w:tcPr>
          <w:p>
            <w:pPr>
              <w:pStyle w:val="TableContents"/>
              <w:spacing w:before="0" w:after="283"/>
              <w:rPr/>
            </w:pPr>
            <w:r>
              <w:rPr/>
              <w:t>  </w:t>
            </w:r>
          </w:p>
        </w:tc>
        <w:tc>
          <w:tcPr>
            <w:tcW w:w="892" w:type="dxa"/>
            <w:tcBorders>
              <w:bottom w:val="single" w:sz="2" w:space="0" w:color="AAAAAA"/>
            </w:tcBorders>
            <w:shd w:fill="auto" w:val="clear"/>
            <w:tcMar>
              <w:bottom w:w="28" w:type="dxa"/>
            </w:tcMar>
            <w:vAlign w:val="bottom"/>
          </w:tcPr>
          <w:p>
            <w:pPr>
              <w:pStyle w:val="TableContents"/>
              <w:spacing w:before="0" w:after="283"/>
              <w:jc w:val="center"/>
              <w:rPr/>
            </w:pPr>
            <w:r>
              <w:rPr/>
              <w:t>$940M</w:t>
            </w:r>
          </w:p>
        </w:tc>
        <w:tc>
          <w:tcPr>
            <w:tcW w:w="206" w:type="dxa"/>
            <w:tcBorders>
              <w:bottom w:val="single" w:sz="2" w:space="0" w:color="AAAAAA"/>
            </w:tcBorders>
            <w:shd w:fill="auto" w:val="clear"/>
            <w:tcMar>
              <w:bottom w:w="28" w:type="dxa"/>
            </w:tcMar>
            <w:vAlign w:val="bottom"/>
          </w:tcPr>
          <w:p>
            <w:pPr>
              <w:pStyle w:val="TableContents"/>
              <w:spacing w:before="0" w:after="283"/>
              <w:rPr/>
            </w:pPr>
            <w:r>
              <w:rPr/>
              <w:t>  </w:t>
            </w:r>
          </w:p>
        </w:tc>
        <w:tc>
          <w:tcPr>
            <w:tcW w:w="913" w:type="dxa"/>
            <w:tcBorders>
              <w:bottom w:val="single" w:sz="2" w:space="0" w:color="AAAAAA"/>
            </w:tcBorders>
            <w:shd w:fill="auto" w:val="clear"/>
            <w:tcMar>
              <w:bottom w:w="28" w:type="dxa"/>
            </w:tcMar>
            <w:vAlign w:val="bottom"/>
          </w:tcPr>
          <w:p>
            <w:pPr>
              <w:pStyle w:val="TableContents"/>
              <w:spacing w:before="0" w:after="283"/>
              <w:jc w:val="center"/>
              <w:rPr/>
            </w:pPr>
            <w:r>
              <w:rPr/>
              <w:t>$990M</w:t>
            </w:r>
          </w:p>
        </w:tc>
        <w:tc>
          <w:tcPr>
            <w:tcW w:w="206" w:type="dxa"/>
            <w:tcBorders>
              <w:bottom w:val="single" w:sz="2" w:space="0" w:color="AAAAAA"/>
            </w:tcBorders>
            <w:shd w:fill="auto" w:val="clear"/>
            <w:tcMar>
              <w:bottom w:w="28" w:type="dxa"/>
            </w:tcMar>
            <w:vAlign w:val="bottom"/>
          </w:tcPr>
          <w:p>
            <w:pPr>
              <w:pStyle w:val="TableContents"/>
              <w:spacing w:before="0" w:after="283"/>
              <w:rPr/>
            </w:pPr>
            <w:r>
              <w:rPr/>
              <w:t>  </w:t>
            </w:r>
          </w:p>
        </w:tc>
        <w:tc>
          <w:tcPr>
            <w:tcW w:w="891" w:type="dxa"/>
            <w:tcBorders>
              <w:bottom w:val="single" w:sz="2" w:space="0" w:color="AAAAAA"/>
            </w:tcBorders>
            <w:shd w:fill="auto" w:val="clear"/>
            <w:tcMar>
              <w:bottom w:w="28" w:type="dxa"/>
            </w:tcMar>
            <w:vAlign w:val="bottom"/>
          </w:tcPr>
          <w:p>
            <w:pPr>
              <w:pStyle w:val="TableContents"/>
              <w:spacing w:before="0" w:after="283"/>
              <w:jc w:val="center"/>
              <w:rPr/>
            </w:pPr>
            <w:r>
              <w:rPr/>
              <w:t>$844M</w:t>
            </w:r>
          </w:p>
        </w:tc>
        <w:tc>
          <w:tcPr>
            <w:tcW w:w="206" w:type="dxa"/>
            <w:tcBorders>
              <w:bottom w:val="single" w:sz="2" w:space="0" w:color="AAAAAA"/>
            </w:tcBorders>
            <w:shd w:fill="auto" w:val="clear"/>
            <w:tcMar>
              <w:bottom w:w="28" w:type="dxa"/>
            </w:tcMar>
            <w:vAlign w:val="bottom"/>
          </w:tcPr>
          <w:p>
            <w:pPr>
              <w:pStyle w:val="TableContents"/>
              <w:spacing w:before="0" w:after="283"/>
              <w:rPr/>
            </w:pPr>
            <w:r>
              <w:rPr/>
              <w:t>  </w:t>
            </w:r>
          </w:p>
        </w:tc>
        <w:tc>
          <w:tcPr>
            <w:tcW w:w="918" w:type="dxa"/>
            <w:tcBorders>
              <w:bottom w:val="single" w:sz="2" w:space="0" w:color="AAAAAA"/>
            </w:tcBorders>
            <w:shd w:fill="auto" w:val="clear"/>
            <w:tcMar>
              <w:bottom w:w="28" w:type="dxa"/>
            </w:tcMar>
            <w:vAlign w:val="bottom"/>
          </w:tcPr>
          <w:p>
            <w:pPr>
              <w:pStyle w:val="TableContents"/>
              <w:spacing w:before="0" w:after="283"/>
              <w:jc w:val="center"/>
              <w:rPr/>
            </w:pPr>
            <w:r>
              <w:rPr/>
              <w:t>0%</w:t>
            </w:r>
          </w:p>
        </w:tc>
      </w:tr>
      <w:tr>
        <w:trPr/>
        <w:tc>
          <w:tcPr>
            <w:tcW w:w="3589" w:type="dxa"/>
            <w:tcBorders>
              <w:bottom w:val="single" w:sz="2" w:space="0" w:color="AAAAAA"/>
            </w:tcBorders>
            <w:shd w:fill="auto" w:val="clear"/>
            <w:tcMar>
              <w:bottom w:w="28" w:type="dxa"/>
            </w:tcMar>
          </w:tcPr>
          <w:p>
            <w:pPr>
              <w:pStyle w:val="TableContents"/>
              <w:spacing w:before="0" w:after="0"/>
              <w:rPr>
                <w:rFonts w:ascii="arial" w:hAnsi="arial"/>
                <w:sz w:val="18"/>
              </w:rPr>
            </w:pPr>
            <w:r>
              <w:rPr>
                <w:rFonts w:ascii="arial" w:hAnsi="arial"/>
                <w:sz w:val="18"/>
              </w:rPr>
              <w:t>Adjusted EBITDA Margin</w:t>
            </w:r>
          </w:p>
        </w:tc>
        <w:tc>
          <w:tcPr>
            <w:tcW w:w="120" w:type="dxa"/>
            <w:tcBorders>
              <w:bottom w:val="single" w:sz="2" w:space="0" w:color="AAAAAA"/>
            </w:tcBorders>
            <w:shd w:fill="auto" w:val="clear"/>
            <w:tcMar>
              <w:bottom w:w="28" w:type="dxa"/>
            </w:tcMar>
            <w:vAlign w:val="bottom"/>
          </w:tcPr>
          <w:p>
            <w:pPr>
              <w:pStyle w:val="TableContents"/>
              <w:spacing w:before="0" w:after="283"/>
              <w:rPr/>
            </w:pPr>
            <w:r>
              <w:rPr/>
              <w:t>  </w:t>
            </w:r>
          </w:p>
        </w:tc>
        <w:tc>
          <w:tcPr>
            <w:tcW w:w="926" w:type="dxa"/>
            <w:tcBorders>
              <w:bottom w:val="single" w:sz="2" w:space="0" w:color="AAAAAA"/>
            </w:tcBorders>
            <w:shd w:fill="auto" w:val="clear"/>
            <w:tcMar>
              <w:bottom w:w="28" w:type="dxa"/>
            </w:tcMar>
            <w:vAlign w:val="bottom"/>
          </w:tcPr>
          <w:p>
            <w:pPr>
              <w:pStyle w:val="TableContents"/>
              <w:spacing w:before="0" w:after="283"/>
              <w:jc w:val="center"/>
              <w:rPr/>
            </w:pPr>
            <w:r>
              <w:rPr/>
              <w:t>40%</w:t>
            </w:r>
          </w:p>
        </w:tc>
        <w:tc>
          <w:tcPr>
            <w:tcW w:w="206" w:type="dxa"/>
            <w:tcBorders>
              <w:bottom w:val="single" w:sz="2" w:space="0" w:color="AAAAAA"/>
            </w:tcBorders>
            <w:shd w:fill="auto" w:val="clear"/>
            <w:tcMar>
              <w:bottom w:w="28" w:type="dxa"/>
            </w:tcMar>
            <w:vAlign w:val="bottom"/>
          </w:tcPr>
          <w:p>
            <w:pPr>
              <w:pStyle w:val="TableContents"/>
              <w:spacing w:before="0" w:after="283"/>
              <w:rPr/>
            </w:pPr>
            <w:r>
              <w:rPr/>
              <w:t>  </w:t>
            </w:r>
          </w:p>
        </w:tc>
        <w:tc>
          <w:tcPr>
            <w:tcW w:w="926" w:type="dxa"/>
            <w:tcBorders>
              <w:bottom w:val="single" w:sz="2" w:space="0" w:color="AAAAAA"/>
            </w:tcBorders>
            <w:shd w:fill="auto" w:val="clear"/>
            <w:tcMar>
              <w:bottom w:w="28" w:type="dxa"/>
            </w:tcMar>
            <w:vAlign w:val="bottom"/>
          </w:tcPr>
          <w:p>
            <w:pPr>
              <w:pStyle w:val="TableContents"/>
              <w:spacing w:before="0" w:after="283"/>
              <w:jc w:val="center"/>
              <w:rPr/>
            </w:pPr>
            <w:r>
              <w:rPr/>
              <w:t>11.15%</w:t>
            </w:r>
          </w:p>
        </w:tc>
        <w:tc>
          <w:tcPr>
            <w:tcW w:w="206" w:type="dxa"/>
            <w:tcBorders>
              <w:bottom w:val="single" w:sz="2" w:space="0" w:color="AAAAAA"/>
            </w:tcBorders>
            <w:shd w:fill="auto" w:val="clear"/>
            <w:tcMar>
              <w:bottom w:w="28" w:type="dxa"/>
            </w:tcMar>
            <w:vAlign w:val="bottom"/>
          </w:tcPr>
          <w:p>
            <w:pPr>
              <w:pStyle w:val="TableContents"/>
              <w:spacing w:before="0" w:after="283"/>
              <w:rPr/>
            </w:pPr>
            <w:r>
              <w:rPr/>
              <w:t>  </w:t>
            </w:r>
          </w:p>
        </w:tc>
        <w:tc>
          <w:tcPr>
            <w:tcW w:w="892" w:type="dxa"/>
            <w:tcBorders>
              <w:bottom w:val="single" w:sz="2" w:space="0" w:color="AAAAAA"/>
            </w:tcBorders>
            <w:shd w:fill="auto" w:val="clear"/>
            <w:tcMar>
              <w:bottom w:w="28" w:type="dxa"/>
            </w:tcMar>
            <w:vAlign w:val="bottom"/>
          </w:tcPr>
          <w:p>
            <w:pPr>
              <w:pStyle w:val="TableContents"/>
              <w:spacing w:before="0" w:after="283"/>
              <w:jc w:val="center"/>
              <w:rPr/>
            </w:pPr>
            <w:r>
              <w:rPr/>
              <w:t>12.40%</w:t>
            </w:r>
          </w:p>
        </w:tc>
        <w:tc>
          <w:tcPr>
            <w:tcW w:w="206" w:type="dxa"/>
            <w:tcBorders>
              <w:bottom w:val="single" w:sz="2" w:space="0" w:color="AAAAAA"/>
            </w:tcBorders>
            <w:shd w:fill="auto" w:val="clear"/>
            <w:tcMar>
              <w:bottom w:w="28" w:type="dxa"/>
            </w:tcMar>
            <w:vAlign w:val="bottom"/>
          </w:tcPr>
          <w:p>
            <w:pPr>
              <w:pStyle w:val="TableContents"/>
              <w:spacing w:before="0" w:after="283"/>
              <w:rPr/>
            </w:pPr>
            <w:r>
              <w:rPr/>
              <w:t>  </w:t>
            </w:r>
          </w:p>
        </w:tc>
        <w:tc>
          <w:tcPr>
            <w:tcW w:w="913" w:type="dxa"/>
            <w:tcBorders>
              <w:bottom w:val="single" w:sz="2" w:space="0" w:color="AAAAAA"/>
            </w:tcBorders>
            <w:shd w:fill="auto" w:val="clear"/>
            <w:tcMar>
              <w:bottom w:w="28" w:type="dxa"/>
            </w:tcMar>
            <w:vAlign w:val="bottom"/>
          </w:tcPr>
          <w:p>
            <w:pPr>
              <w:pStyle w:val="TableContents"/>
              <w:spacing w:before="0" w:after="283"/>
              <w:jc w:val="center"/>
              <w:rPr/>
            </w:pPr>
            <w:r>
              <w:rPr/>
              <w:t>13.65%</w:t>
            </w:r>
          </w:p>
        </w:tc>
        <w:tc>
          <w:tcPr>
            <w:tcW w:w="206" w:type="dxa"/>
            <w:tcBorders>
              <w:bottom w:val="single" w:sz="2" w:space="0" w:color="AAAAAA"/>
            </w:tcBorders>
            <w:shd w:fill="auto" w:val="clear"/>
            <w:tcMar>
              <w:bottom w:w="28" w:type="dxa"/>
            </w:tcMar>
            <w:vAlign w:val="bottom"/>
          </w:tcPr>
          <w:p>
            <w:pPr>
              <w:pStyle w:val="TableContents"/>
              <w:spacing w:before="0" w:after="283"/>
              <w:rPr/>
            </w:pPr>
            <w:r>
              <w:rPr/>
              <w:t>  </w:t>
            </w:r>
          </w:p>
        </w:tc>
        <w:tc>
          <w:tcPr>
            <w:tcW w:w="891" w:type="dxa"/>
            <w:tcBorders>
              <w:bottom w:val="single" w:sz="2" w:space="0" w:color="AAAAAA"/>
            </w:tcBorders>
            <w:shd w:fill="auto" w:val="clear"/>
            <w:tcMar>
              <w:bottom w:w="28" w:type="dxa"/>
            </w:tcMar>
            <w:vAlign w:val="bottom"/>
          </w:tcPr>
          <w:p>
            <w:pPr>
              <w:pStyle w:val="TableContents"/>
              <w:spacing w:before="0" w:after="283"/>
              <w:jc w:val="center"/>
              <w:rPr/>
            </w:pPr>
            <w:r>
              <w:rPr/>
              <w:t>10.30%</w:t>
            </w:r>
          </w:p>
        </w:tc>
        <w:tc>
          <w:tcPr>
            <w:tcW w:w="206" w:type="dxa"/>
            <w:tcBorders>
              <w:bottom w:val="single" w:sz="2" w:space="0" w:color="AAAAAA"/>
            </w:tcBorders>
            <w:shd w:fill="auto" w:val="clear"/>
            <w:tcMar>
              <w:bottom w:w="28" w:type="dxa"/>
            </w:tcMar>
            <w:vAlign w:val="bottom"/>
          </w:tcPr>
          <w:p>
            <w:pPr>
              <w:pStyle w:val="TableContents"/>
              <w:spacing w:before="0" w:after="283"/>
              <w:rPr/>
            </w:pPr>
            <w:r>
              <w:rPr/>
              <w:t>  </w:t>
            </w:r>
          </w:p>
        </w:tc>
        <w:tc>
          <w:tcPr>
            <w:tcW w:w="918" w:type="dxa"/>
            <w:tcBorders>
              <w:bottom w:val="single" w:sz="2" w:space="0" w:color="AAAAAA"/>
            </w:tcBorders>
            <w:shd w:fill="auto" w:val="clear"/>
            <w:tcMar>
              <w:bottom w:w="28" w:type="dxa"/>
            </w:tcMar>
            <w:vAlign w:val="bottom"/>
          </w:tcPr>
          <w:p>
            <w:pPr>
              <w:pStyle w:val="TableContents"/>
              <w:spacing w:before="0" w:after="283"/>
              <w:jc w:val="center"/>
              <w:rPr/>
            </w:pPr>
            <w:r>
              <w:rPr/>
              <w:t>0%</w:t>
            </w:r>
          </w:p>
        </w:tc>
      </w:tr>
      <w:tr>
        <w:trPr/>
        <w:tc>
          <w:tcPr>
            <w:tcW w:w="3589" w:type="dxa"/>
            <w:tcBorders>
              <w:bottom w:val="single" w:sz="2" w:space="0" w:color="00548B"/>
            </w:tcBorders>
            <w:shd w:fill="auto" w:val="clear"/>
            <w:tcMar>
              <w:bottom w:w="28" w:type="dxa"/>
            </w:tcMar>
          </w:tcPr>
          <w:p>
            <w:pPr>
              <w:pStyle w:val="TableContents"/>
              <w:spacing w:before="0" w:after="0"/>
              <w:rPr>
                <w:rFonts w:ascii="arial" w:hAnsi="arial"/>
                <w:sz w:val="18"/>
              </w:rPr>
            </w:pPr>
            <w:r>
              <w:rPr>
                <w:rFonts w:ascii="arial" w:hAnsi="arial"/>
                <w:sz w:val="18"/>
              </w:rPr>
              <w:t>Strategic Measures*</w:t>
            </w:r>
          </w:p>
        </w:tc>
        <w:tc>
          <w:tcPr>
            <w:tcW w:w="120" w:type="dxa"/>
            <w:tcBorders>
              <w:bottom w:val="single" w:sz="2" w:space="0" w:color="00548B"/>
            </w:tcBorders>
            <w:shd w:fill="auto" w:val="clear"/>
            <w:tcMar>
              <w:bottom w:w="28" w:type="dxa"/>
            </w:tcMar>
            <w:vAlign w:val="bottom"/>
          </w:tcPr>
          <w:p>
            <w:pPr>
              <w:pStyle w:val="TableContents"/>
              <w:spacing w:before="0" w:after="283"/>
              <w:rPr/>
            </w:pPr>
            <w:r>
              <w:rPr/>
              <w:t>  </w:t>
            </w:r>
          </w:p>
        </w:tc>
        <w:tc>
          <w:tcPr>
            <w:tcW w:w="926" w:type="dxa"/>
            <w:tcBorders>
              <w:bottom w:val="single" w:sz="2" w:space="0" w:color="00548B"/>
            </w:tcBorders>
            <w:shd w:fill="auto" w:val="clear"/>
            <w:tcMar>
              <w:bottom w:w="28" w:type="dxa"/>
            </w:tcMar>
            <w:vAlign w:val="bottom"/>
          </w:tcPr>
          <w:p>
            <w:pPr>
              <w:pStyle w:val="TableContents"/>
              <w:spacing w:before="0" w:after="283"/>
              <w:jc w:val="center"/>
              <w:rPr/>
            </w:pPr>
            <w:r>
              <w:rPr/>
              <w:t>20%</w:t>
            </w:r>
          </w:p>
        </w:tc>
        <w:tc>
          <w:tcPr>
            <w:tcW w:w="206" w:type="dxa"/>
            <w:tcBorders>
              <w:bottom w:val="single" w:sz="2" w:space="0" w:color="00548B"/>
            </w:tcBorders>
            <w:shd w:fill="auto" w:val="clear"/>
            <w:tcMar>
              <w:bottom w:w="28" w:type="dxa"/>
            </w:tcMar>
            <w:vAlign w:val="bottom"/>
          </w:tcPr>
          <w:p>
            <w:pPr>
              <w:pStyle w:val="TableContents"/>
              <w:spacing w:before="0" w:after="283"/>
              <w:rPr/>
            </w:pPr>
            <w:r>
              <w:rPr/>
              <w:t>  </w:t>
            </w:r>
          </w:p>
        </w:tc>
        <w:tc>
          <w:tcPr>
            <w:tcW w:w="4240" w:type="dxa"/>
            <w:gridSpan w:val="7"/>
            <w:tcBorders>
              <w:bottom w:val="single" w:sz="2" w:space="0" w:color="00548B"/>
            </w:tcBorders>
            <w:shd w:fill="auto" w:val="clear"/>
            <w:tcMar>
              <w:bottom w:w="28" w:type="dxa"/>
            </w:tcMar>
            <w:vAlign w:val="bottom"/>
          </w:tcPr>
          <w:p>
            <w:pPr>
              <w:pStyle w:val="TableContents"/>
              <w:spacing w:before="0" w:after="283"/>
              <w:jc w:val="center"/>
              <w:rPr/>
            </w:pPr>
            <w:r>
              <w:rPr/>
              <w:t>Varies by measure - details below</w:t>
            </w:r>
          </w:p>
        </w:tc>
        <w:tc>
          <w:tcPr>
            <w:tcW w:w="206" w:type="dxa"/>
            <w:tcBorders>
              <w:bottom w:val="single" w:sz="2" w:space="0" w:color="00548B"/>
            </w:tcBorders>
            <w:shd w:fill="auto" w:val="clear"/>
            <w:tcMar>
              <w:bottom w:w="28" w:type="dxa"/>
            </w:tcMar>
            <w:vAlign w:val="bottom"/>
          </w:tcPr>
          <w:p>
            <w:pPr>
              <w:pStyle w:val="TableContents"/>
              <w:spacing w:before="0" w:after="283"/>
              <w:rPr/>
            </w:pPr>
            <w:r>
              <w:rPr/>
              <w:t>  </w:t>
            </w:r>
          </w:p>
        </w:tc>
        <w:tc>
          <w:tcPr>
            <w:tcW w:w="918" w:type="dxa"/>
            <w:tcBorders>
              <w:bottom w:val="single" w:sz="2" w:space="0" w:color="00548B"/>
            </w:tcBorders>
            <w:shd w:fill="auto" w:val="clear"/>
            <w:tcMar>
              <w:bottom w:w="28" w:type="dxa"/>
            </w:tcMar>
            <w:vAlign w:val="bottom"/>
          </w:tcPr>
          <w:p>
            <w:pPr>
              <w:pStyle w:val="TableContents"/>
              <w:spacing w:before="0" w:after="283"/>
              <w:jc w:val="center"/>
              <w:rPr/>
            </w:pPr>
            <w:r>
              <w:rPr/>
              <w:t>176.7%</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pPr>
            <w:r>
              <w:rPr/>
              <w:t>*</w:t>
            </w:r>
          </w:p>
        </w:tc>
        <w:tc>
          <w:tcPr>
            <w:tcW w:w="10002" w:type="dxa"/>
            <w:tcBorders/>
            <w:shd w:fill="auto" w:val="clear"/>
          </w:tcPr>
          <w:p>
            <w:pPr>
              <w:pStyle w:val="TableContents"/>
              <w:spacing w:before="0" w:after="0"/>
              <w:jc w:val="both"/>
              <w:rPr>
                <w:rFonts w:ascii="arial" w:hAnsi="arial"/>
                <w:sz w:val="18"/>
              </w:rPr>
            </w:pPr>
            <w:r>
              <w:rPr>
                <w:rFonts w:ascii="arial" w:hAnsi="arial"/>
                <w:sz w:val="18"/>
              </w:rPr>
              <w:t xml:space="preserve">The structure of the Strategic Measures balances objective, quantifiable metrics with qualitative goals. The Compensation Committee approves the goals and assesses performance against predefined measures of success. Payouts range from 0-200% with a 25% minimum threshold. The following chart outlines the 2020 goals as well as their weighting, description and actual level of achievement.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29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center"/>
        <w:rPr>
          <w:rFonts w:ascii="arial" w:hAnsi="arial"/>
          <w:b/>
          <w:color w:val="00548B"/>
          <w:sz w:val="20"/>
        </w:rPr>
      </w:pPr>
      <w:r>
        <w:rPr>
          <w:rFonts w:ascii="arial" w:hAnsi="arial"/>
          <w:b/>
          <w:color w:val="00548B"/>
          <w:sz w:val="20"/>
        </w:rPr>
        <w:t xml:space="preserve">2020 Strategic Measures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70"/>
        <w:gridCol w:w="151"/>
        <w:gridCol w:w="1191"/>
        <w:gridCol w:w="100"/>
        <w:gridCol w:w="3074"/>
        <w:gridCol w:w="100"/>
        <w:gridCol w:w="60"/>
        <w:gridCol w:w="666"/>
        <w:gridCol w:w="290"/>
        <w:gridCol w:w="100"/>
        <w:gridCol w:w="2803"/>
      </w:tblGrid>
      <w:tr>
        <w:trPr/>
        <w:tc>
          <w:tcPr>
            <w:tcW w:w="1670" w:type="dxa"/>
            <w:tcBorders/>
            <w:shd w:fill="auto" w:val="clear"/>
            <w:vAlign w:val="center"/>
          </w:tcPr>
          <w:p>
            <w:pPr>
              <w:pStyle w:val="TableContents"/>
              <w:spacing w:before="0" w:after="283"/>
              <w:rPr>
                <w:sz w:val="4"/>
                <w:szCs w:val="4"/>
              </w:rPr>
            </w:pPr>
            <w:r>
              <w:rPr>
                <w:sz w:val="4"/>
                <w:szCs w:val="4"/>
              </w:rPr>
            </w:r>
          </w:p>
        </w:tc>
        <w:tc>
          <w:tcPr>
            <w:tcW w:w="151" w:type="dxa"/>
            <w:tcBorders/>
            <w:shd w:fill="auto" w:val="clear"/>
            <w:vAlign w:val="bottom"/>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3074" w:type="dxa"/>
            <w:tcBorders/>
            <w:shd w:fill="auto" w:val="clear"/>
            <w:vAlign w:val="center"/>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66" w:type="dxa"/>
            <w:tcBorders/>
            <w:shd w:fill="auto" w:val="clear"/>
            <w:vAlign w:val="center"/>
          </w:tcPr>
          <w:p>
            <w:pPr>
              <w:pStyle w:val="TableContents"/>
              <w:spacing w:before="0" w:after="283"/>
              <w:rPr>
                <w:sz w:val="4"/>
                <w:szCs w:val="4"/>
              </w:rPr>
            </w:pPr>
            <w:r>
              <w:rPr>
                <w:sz w:val="4"/>
                <w:szCs w:val="4"/>
              </w:rPr>
            </w:r>
          </w:p>
        </w:tc>
        <w:tc>
          <w:tcPr>
            <w:tcW w:w="290"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bottom"/>
          </w:tcPr>
          <w:p>
            <w:pPr>
              <w:pStyle w:val="TableContents"/>
              <w:spacing w:before="0" w:after="283"/>
              <w:rPr>
                <w:sz w:val="4"/>
                <w:szCs w:val="4"/>
              </w:rPr>
            </w:pPr>
            <w:r>
              <w:rPr>
                <w:sz w:val="4"/>
                <w:szCs w:val="4"/>
              </w:rPr>
            </w:r>
          </w:p>
        </w:tc>
        <w:tc>
          <w:tcPr>
            <w:tcW w:w="2803" w:type="dxa"/>
            <w:tcBorders/>
            <w:shd w:fill="auto" w:val="clear"/>
            <w:vAlign w:val="center"/>
          </w:tcPr>
          <w:p>
            <w:pPr>
              <w:pStyle w:val="TableContents"/>
              <w:spacing w:before="0" w:after="283"/>
              <w:rPr>
                <w:sz w:val="4"/>
                <w:szCs w:val="4"/>
              </w:rPr>
            </w:pPr>
            <w:r>
              <w:rPr>
                <w:sz w:val="4"/>
                <w:szCs w:val="4"/>
              </w:rPr>
            </w:r>
          </w:p>
        </w:tc>
      </w:tr>
      <w:tr>
        <w:trPr>
          <w:trHeight w:val="120" w:hRule="atLeast"/>
        </w:trPr>
        <w:tc>
          <w:tcPr>
            <w:tcW w:w="1670" w:type="dxa"/>
            <w:tcBorders/>
            <w:shd w:fill="00548B" w:val="clear"/>
            <w:vAlign w:val="center"/>
          </w:tcPr>
          <w:p>
            <w:pPr>
              <w:pStyle w:val="TableContents"/>
              <w:spacing w:before="0" w:after="283"/>
              <w:rPr>
                <w:sz w:val="4"/>
                <w:szCs w:val="4"/>
              </w:rPr>
            </w:pPr>
            <w:r>
              <w:rPr>
                <w:sz w:val="4"/>
                <w:szCs w:val="4"/>
              </w:rPr>
            </w:r>
          </w:p>
        </w:tc>
        <w:tc>
          <w:tcPr>
            <w:tcW w:w="1342" w:type="dxa"/>
            <w:gridSpan w:val="2"/>
            <w:tcBorders/>
            <w:shd w:fill="00548B" w:val="clear"/>
            <w:vAlign w:val="center"/>
          </w:tcPr>
          <w:p>
            <w:pPr>
              <w:pStyle w:val="TableContents"/>
              <w:spacing w:before="0" w:after="283"/>
              <w:rPr>
                <w:sz w:val="4"/>
                <w:szCs w:val="4"/>
              </w:rPr>
            </w:pPr>
            <w:r>
              <w:rPr>
                <w:sz w:val="4"/>
                <w:szCs w:val="4"/>
              </w:rPr>
            </w:r>
          </w:p>
        </w:tc>
        <w:tc>
          <w:tcPr>
            <w:tcW w:w="3174" w:type="dxa"/>
            <w:gridSpan w:val="2"/>
            <w:tcBorders/>
            <w:shd w:fill="00548B" w:val="clear"/>
            <w:vAlign w:val="center"/>
          </w:tcPr>
          <w:p>
            <w:pPr>
              <w:pStyle w:val="TableContents"/>
              <w:spacing w:before="0" w:after="283"/>
              <w:rPr>
                <w:sz w:val="4"/>
                <w:szCs w:val="4"/>
              </w:rPr>
            </w:pPr>
            <w:r>
              <w:rPr>
                <w:sz w:val="4"/>
                <w:szCs w:val="4"/>
              </w:rPr>
            </w:r>
          </w:p>
        </w:tc>
        <w:tc>
          <w:tcPr>
            <w:tcW w:w="4019" w:type="dxa"/>
            <w:gridSpan w:val="6"/>
            <w:tcBorders/>
            <w:shd w:fill="00548B" w:val="clear"/>
            <w:vAlign w:val="center"/>
          </w:tcPr>
          <w:p>
            <w:pPr>
              <w:pStyle w:val="TableContents"/>
              <w:spacing w:before="0" w:after="283"/>
              <w:rPr>
                <w:sz w:val="4"/>
                <w:szCs w:val="4"/>
              </w:rPr>
            </w:pPr>
            <w:r>
              <w:rPr>
                <w:sz w:val="4"/>
                <w:szCs w:val="4"/>
              </w:rPr>
            </w:r>
          </w:p>
        </w:tc>
      </w:tr>
      <w:tr>
        <w:trPr/>
        <w:tc>
          <w:tcPr>
            <w:tcW w:w="1670" w:type="dxa"/>
            <w:tcBorders/>
            <w:shd w:fill="00548B" w:val="clear"/>
            <w:vAlign w:val="bottom"/>
          </w:tcPr>
          <w:p>
            <w:pPr>
              <w:pStyle w:val="TableContents"/>
              <w:spacing w:before="0" w:after="283"/>
              <w:jc w:val="center"/>
              <w:rPr>
                <w:b/>
                <w:color w:val="D8D8D8"/>
              </w:rPr>
            </w:pPr>
            <w:r>
              <w:rPr>
                <w:b/>
                <w:color w:val="D8D8D8"/>
              </w:rPr>
              <w:t>Quantitative</w:t>
              <w:br/>
              <w:t>Goals</w:t>
            </w:r>
          </w:p>
        </w:tc>
        <w:tc>
          <w:tcPr>
            <w:tcW w:w="151" w:type="dxa"/>
            <w:tcBorders/>
            <w:shd w:fill="00548B" w:val="clear"/>
            <w:vAlign w:val="bottom"/>
          </w:tcPr>
          <w:p>
            <w:pPr>
              <w:pStyle w:val="TableContents"/>
              <w:spacing w:before="0" w:after="283"/>
              <w:rPr/>
            </w:pPr>
            <w:r>
              <w:rPr/>
              <w:t> </w:t>
            </w:r>
          </w:p>
        </w:tc>
        <w:tc>
          <w:tcPr>
            <w:tcW w:w="1191" w:type="dxa"/>
            <w:tcBorders/>
            <w:shd w:fill="00548B" w:val="clear"/>
            <w:vAlign w:val="bottom"/>
          </w:tcPr>
          <w:p>
            <w:pPr>
              <w:pStyle w:val="TableContents"/>
              <w:spacing w:before="0" w:after="283"/>
              <w:jc w:val="center"/>
              <w:rPr>
                <w:b/>
                <w:color w:val="D8D8D8"/>
              </w:rPr>
            </w:pPr>
            <w:r>
              <w:rPr>
                <w:b/>
                <w:color w:val="D8D8D8"/>
              </w:rPr>
              <w:t>Weighting</w:t>
            </w:r>
          </w:p>
        </w:tc>
        <w:tc>
          <w:tcPr>
            <w:tcW w:w="100" w:type="dxa"/>
            <w:tcBorders/>
            <w:shd w:fill="00548B" w:val="clear"/>
            <w:vAlign w:val="bottom"/>
          </w:tcPr>
          <w:p>
            <w:pPr>
              <w:pStyle w:val="TableContents"/>
              <w:spacing w:before="0" w:after="283"/>
              <w:rPr/>
            </w:pPr>
            <w:r>
              <w:rPr/>
              <w:t> </w:t>
            </w:r>
          </w:p>
        </w:tc>
        <w:tc>
          <w:tcPr>
            <w:tcW w:w="3074" w:type="dxa"/>
            <w:tcBorders/>
            <w:shd w:fill="00548B" w:val="clear"/>
            <w:vAlign w:val="bottom"/>
          </w:tcPr>
          <w:p>
            <w:pPr>
              <w:pStyle w:val="TableContents"/>
              <w:spacing w:before="0" w:after="283"/>
              <w:jc w:val="center"/>
              <w:rPr>
                <w:b/>
                <w:color w:val="D8D8D8"/>
              </w:rPr>
            </w:pPr>
            <w:r>
              <w:rPr>
                <w:b/>
                <w:color w:val="D8D8D8"/>
              </w:rPr>
              <w:t>Alignment of Strategic Priorities with</w:t>
              <w:br/>
              <w:t>Shareholder Value</w:t>
            </w:r>
          </w:p>
        </w:tc>
        <w:tc>
          <w:tcPr>
            <w:tcW w:w="100" w:type="dxa"/>
            <w:tcBorders/>
            <w:shd w:fill="00548B" w:val="clear"/>
            <w:vAlign w:val="bottom"/>
          </w:tcPr>
          <w:p>
            <w:pPr>
              <w:pStyle w:val="TableContents"/>
              <w:spacing w:before="0" w:after="283"/>
              <w:rPr/>
            </w:pPr>
            <w:r>
              <w:rPr/>
              <w:t> </w:t>
            </w:r>
          </w:p>
        </w:tc>
        <w:tc>
          <w:tcPr>
            <w:tcW w:w="3919" w:type="dxa"/>
            <w:gridSpan w:val="5"/>
            <w:tcBorders/>
            <w:shd w:fill="00548B" w:val="clear"/>
            <w:vAlign w:val="bottom"/>
          </w:tcPr>
          <w:p>
            <w:pPr>
              <w:pStyle w:val="TableContents"/>
              <w:spacing w:before="0" w:after="283"/>
              <w:rPr>
                <w:b/>
                <w:color w:val="D8D8D8"/>
              </w:rPr>
            </w:pPr>
            <w:r>
              <w:rPr>
                <w:b/>
                <w:color w:val="D8D8D8"/>
              </w:rPr>
              <w:t>Level of Achievement</w:t>
            </w:r>
          </w:p>
        </w:tc>
      </w:tr>
      <w:tr>
        <w:trPr/>
        <w:tc>
          <w:tcPr>
            <w:tcW w:w="1670" w:type="dxa"/>
            <w:tcBorders>
              <w:bottom w:val="single" w:sz="2" w:space="0" w:color="999999"/>
            </w:tcBorders>
            <w:shd w:fill="auto" w:val="clear"/>
            <w:tcMar>
              <w:bottom w:w="28" w:type="dxa"/>
            </w:tcMar>
            <w:vAlign w:val="center"/>
          </w:tcPr>
          <w:p>
            <w:pPr>
              <w:pStyle w:val="TableContents"/>
              <w:spacing w:before="0" w:after="0"/>
              <w:rPr>
                <w:rFonts w:ascii="arial" w:hAnsi="arial"/>
                <w:sz w:val="18"/>
              </w:rPr>
            </w:pPr>
            <w:r>
              <w:rPr>
                <w:rFonts w:ascii="arial" w:hAnsi="arial"/>
                <w:sz w:val="18"/>
              </w:rPr>
              <w:t>Enterprise</w:t>
            </w:r>
          </w:p>
        </w:tc>
        <w:tc>
          <w:tcPr>
            <w:tcW w:w="151" w:type="dxa"/>
            <w:tcBorders>
              <w:bottom w:val="single" w:sz="2" w:space="0" w:color="999999"/>
            </w:tcBorders>
            <w:shd w:fill="auto" w:val="clear"/>
            <w:tcMar>
              <w:bottom w:w="28" w:type="dxa"/>
            </w:tcMar>
            <w:vAlign w:val="bottom"/>
          </w:tcPr>
          <w:p>
            <w:pPr>
              <w:pStyle w:val="TableContents"/>
              <w:spacing w:before="0" w:after="283"/>
              <w:rPr/>
            </w:pPr>
            <w:r>
              <w:rPr/>
              <w:t> </w:t>
            </w:r>
          </w:p>
        </w:tc>
        <w:tc>
          <w:tcPr>
            <w:tcW w:w="1191" w:type="dxa"/>
            <w:tcBorders>
              <w:bottom w:val="single" w:sz="2" w:space="0" w:color="999999"/>
            </w:tcBorders>
            <w:shd w:fill="auto" w:val="clear"/>
            <w:tcMar>
              <w:bottom w:w="28" w:type="dxa"/>
            </w:tcMar>
            <w:vAlign w:val="center"/>
          </w:tcPr>
          <w:p>
            <w:pPr>
              <w:pStyle w:val="TableContents"/>
              <w:spacing w:before="0" w:after="283"/>
              <w:rPr/>
            </w:pPr>
            <w:r>
              <w:rPr/>
              <w:t>40%</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3074" w:type="dxa"/>
            <w:tcBorders>
              <w:bottom w:val="single" w:sz="2" w:space="0" w:color="999999"/>
            </w:tcBorders>
            <w:shd w:fill="auto" w:val="clear"/>
            <w:tcMar>
              <w:bottom w:w="28" w:type="dxa"/>
            </w:tcMar>
          </w:tcPr>
          <w:p>
            <w:pPr>
              <w:pStyle w:val="TableContents"/>
              <w:spacing w:before="0" w:after="0"/>
              <w:jc w:val="both"/>
              <w:rPr>
                <w:rFonts w:ascii="arial" w:hAnsi="arial"/>
                <w:sz w:val="18"/>
              </w:rPr>
            </w:pPr>
            <w:r>
              <w:rPr>
                <w:rFonts w:ascii="arial" w:hAnsi="arial"/>
                <w:sz w:val="18"/>
              </w:rPr>
              <w:t>Focused on the deployment of capital and maintaining a strong balance sheet with appropriate leverage and flexibility to support Hurons growth strategy, maintaining an engaged, productive workforce through the global pandemic, the growth of Hurons commercial business, and the implementations of key system upgrades.</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center"/>
          </w:tcPr>
          <w:p>
            <w:pPr>
              <w:pStyle w:val="TableContents"/>
              <w:spacing w:before="0" w:after="283"/>
              <w:rPr/>
            </w:pPr>
            <w:r>
              <w:rPr/>
              <w:t> </w:t>
            </w:r>
          </w:p>
        </w:tc>
        <w:tc>
          <w:tcPr>
            <w:tcW w:w="666" w:type="dxa"/>
            <w:tcBorders>
              <w:bottom w:val="single" w:sz="2" w:space="0" w:color="999999"/>
            </w:tcBorders>
            <w:shd w:fill="auto" w:val="clear"/>
            <w:tcMar>
              <w:bottom w:w="28" w:type="dxa"/>
            </w:tcMar>
            <w:vAlign w:val="center"/>
          </w:tcPr>
          <w:p>
            <w:pPr>
              <w:pStyle w:val="TableContents"/>
              <w:spacing w:before="0" w:after="283"/>
              <w:rPr/>
            </w:pPr>
            <w:r>
              <w:rPr/>
              <w:t>76%</w:t>
            </w:r>
          </w:p>
        </w:tc>
        <w:tc>
          <w:tcPr>
            <w:tcW w:w="290" w:type="dxa"/>
            <w:tcBorders>
              <w:bottom w:val="single" w:sz="2" w:space="0" w:color="999999"/>
            </w:tcBorders>
            <w:shd w:fill="auto" w:val="clear"/>
            <w:tcMar>
              <w:bottom w:w="28" w:type="dxa"/>
            </w:tcMar>
            <w:vAlign w:val="center"/>
          </w:tcPr>
          <w:p>
            <w:pPr>
              <w:pStyle w:val="TableContents"/>
              <w:spacing w:before="0" w:after="283"/>
              <w:rPr/>
            </w:pPr>
            <w:r>
              <w:rPr/>
              <w:t> </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2803" w:type="dxa"/>
            <w:tcBorders>
              <w:bottom w:val="single" w:sz="2" w:space="0" w:color="999999"/>
            </w:tcBorders>
            <w:shd w:fill="auto" w:val="clear"/>
            <w:tcMar>
              <w:bottom w:w="28" w:type="dxa"/>
            </w:tcMar>
          </w:tcPr>
          <w:p>
            <w:pPr>
              <w:pStyle w:val="TableContents"/>
              <w:spacing w:before="0" w:after="0"/>
              <w:jc w:val="both"/>
              <w:rPr>
                <w:rFonts w:ascii="arial" w:hAnsi="arial"/>
                <w:sz w:val="18"/>
              </w:rPr>
            </w:pPr>
            <w:r>
              <w:rPr>
                <w:rFonts w:ascii="arial" w:hAnsi="arial"/>
                <w:sz w:val="18"/>
              </w:rPr>
              <w:t>Executed Hurons debt pay down strategy to de-leverage to below our target of 1.5x Adjusted EBITDA while managing cash flow to maintain liquidity in a period of uncertainty stemming from the COVID-19 pandemic. Consistently maintained employee engagement scores above the global norm. Exceed growth targets for revenue generated in Hurons core commercial industries year-over-year. Successfully executed the implementation of Hurons new ERP system on-time and on-budget and refreshed the company website.</w:t>
            </w:r>
          </w:p>
        </w:tc>
      </w:tr>
      <w:tr>
        <w:trPr/>
        <w:tc>
          <w:tcPr>
            <w:tcW w:w="1670" w:type="dxa"/>
            <w:tcBorders>
              <w:bottom w:val="single" w:sz="2" w:space="0" w:color="999999"/>
            </w:tcBorders>
            <w:shd w:fill="auto" w:val="clear"/>
            <w:tcMar>
              <w:bottom w:w="28" w:type="dxa"/>
            </w:tcMar>
            <w:vAlign w:val="center"/>
          </w:tcPr>
          <w:p>
            <w:pPr>
              <w:pStyle w:val="TableContents"/>
              <w:spacing w:before="0" w:after="0"/>
              <w:rPr>
                <w:rFonts w:ascii="arial" w:hAnsi="arial"/>
                <w:sz w:val="18"/>
              </w:rPr>
            </w:pPr>
            <w:r>
              <w:rPr>
                <w:rFonts w:ascii="arial" w:hAnsi="arial"/>
                <w:sz w:val="18"/>
              </w:rPr>
              <w:t>Business Unit</w:t>
            </w:r>
          </w:p>
        </w:tc>
        <w:tc>
          <w:tcPr>
            <w:tcW w:w="151" w:type="dxa"/>
            <w:tcBorders>
              <w:bottom w:val="single" w:sz="2" w:space="0" w:color="999999"/>
            </w:tcBorders>
            <w:shd w:fill="auto" w:val="clear"/>
            <w:tcMar>
              <w:bottom w:w="28" w:type="dxa"/>
            </w:tcMar>
            <w:vAlign w:val="bottom"/>
          </w:tcPr>
          <w:p>
            <w:pPr>
              <w:pStyle w:val="TableContents"/>
              <w:spacing w:before="0" w:after="283"/>
              <w:rPr/>
            </w:pPr>
            <w:r>
              <w:rPr/>
              <w:t> </w:t>
            </w:r>
          </w:p>
        </w:tc>
        <w:tc>
          <w:tcPr>
            <w:tcW w:w="1191" w:type="dxa"/>
            <w:tcBorders>
              <w:bottom w:val="single" w:sz="2" w:space="0" w:color="999999"/>
            </w:tcBorders>
            <w:shd w:fill="auto" w:val="clear"/>
            <w:tcMar>
              <w:bottom w:w="28" w:type="dxa"/>
            </w:tcMar>
            <w:vAlign w:val="center"/>
          </w:tcPr>
          <w:p>
            <w:pPr>
              <w:pStyle w:val="TableContents"/>
              <w:spacing w:before="0" w:after="283"/>
              <w:rPr/>
            </w:pPr>
            <w:r>
              <w:rPr/>
              <w:t>7%</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3074" w:type="dxa"/>
            <w:tcBorders>
              <w:bottom w:val="single" w:sz="2" w:space="0" w:color="999999"/>
            </w:tcBorders>
            <w:shd w:fill="auto" w:val="clear"/>
            <w:tcMar>
              <w:bottom w:w="28" w:type="dxa"/>
            </w:tcMar>
          </w:tcPr>
          <w:p>
            <w:pPr>
              <w:pStyle w:val="TableContents"/>
              <w:spacing w:before="0" w:after="0"/>
              <w:jc w:val="both"/>
              <w:rPr>
                <w:rFonts w:ascii="arial" w:hAnsi="arial"/>
                <w:sz w:val="18"/>
              </w:rPr>
            </w:pPr>
            <w:r>
              <w:rPr>
                <w:rFonts w:ascii="arial" w:hAnsi="arial"/>
                <w:sz w:val="18"/>
              </w:rPr>
              <w:t>Focused on achieving sustainable organic revenue growth over time. Measures included business unit-level revenue growth targets, new service line revenue growth targets, and collaboration metrics. Specific goals vary by business unit.</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center"/>
          </w:tcPr>
          <w:p>
            <w:pPr>
              <w:pStyle w:val="TableContents"/>
              <w:spacing w:before="0" w:after="283"/>
              <w:rPr/>
            </w:pPr>
            <w:r>
              <w:rPr/>
              <w:t> </w:t>
            </w:r>
          </w:p>
        </w:tc>
        <w:tc>
          <w:tcPr>
            <w:tcW w:w="666" w:type="dxa"/>
            <w:tcBorders>
              <w:bottom w:val="single" w:sz="2" w:space="0" w:color="999999"/>
            </w:tcBorders>
            <w:shd w:fill="auto" w:val="clear"/>
            <w:tcMar>
              <w:bottom w:w="28" w:type="dxa"/>
            </w:tcMar>
            <w:vAlign w:val="center"/>
          </w:tcPr>
          <w:p>
            <w:pPr>
              <w:pStyle w:val="TableContents"/>
              <w:spacing w:before="0" w:after="283"/>
              <w:rPr/>
            </w:pPr>
            <w:r>
              <w:rPr/>
              <w:t>2%</w:t>
            </w:r>
          </w:p>
        </w:tc>
        <w:tc>
          <w:tcPr>
            <w:tcW w:w="290" w:type="dxa"/>
            <w:tcBorders>
              <w:bottom w:val="single" w:sz="2" w:space="0" w:color="999999"/>
            </w:tcBorders>
            <w:shd w:fill="auto" w:val="clear"/>
            <w:tcMar>
              <w:bottom w:w="28" w:type="dxa"/>
            </w:tcMar>
            <w:vAlign w:val="center"/>
          </w:tcPr>
          <w:p>
            <w:pPr>
              <w:pStyle w:val="TableContents"/>
              <w:spacing w:before="0" w:after="283"/>
              <w:rPr/>
            </w:pPr>
            <w:r>
              <w:rPr/>
              <w:t> </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2803" w:type="dxa"/>
            <w:tcBorders>
              <w:bottom w:val="single" w:sz="2" w:space="0" w:color="999999"/>
            </w:tcBorders>
            <w:shd w:fill="auto" w:val="clear"/>
            <w:tcMar>
              <w:bottom w:w="28" w:type="dxa"/>
            </w:tcMar>
          </w:tcPr>
          <w:p>
            <w:pPr>
              <w:pStyle w:val="TableContents"/>
              <w:spacing w:before="0" w:after="0"/>
              <w:jc w:val="both"/>
              <w:rPr>
                <w:rFonts w:ascii="arial" w:hAnsi="arial"/>
                <w:sz w:val="18"/>
              </w:rPr>
            </w:pPr>
            <w:r>
              <w:rPr>
                <w:rFonts w:ascii="arial" w:hAnsi="arial"/>
                <w:sz w:val="18"/>
              </w:rPr>
              <w:t>Executed Hurons strategic plan, which included advancing and evolving new service lines to strengthen and expand our offerings and continuing to pursue collaboration within and across business units. Did not achieve all of the aggressive business unit growth measures due to the impacts of the COVID-19 pandemic.</w:t>
            </w:r>
          </w:p>
        </w:tc>
      </w:tr>
      <w:tr>
        <w:trPr>
          <w:trHeight w:val="120" w:hRule="atLeast"/>
        </w:trPr>
        <w:tc>
          <w:tcPr>
            <w:tcW w:w="1670" w:type="dxa"/>
            <w:tcBorders/>
            <w:shd w:fill="00548B" w:val="clear"/>
            <w:vAlign w:val="center"/>
          </w:tcPr>
          <w:p>
            <w:pPr>
              <w:pStyle w:val="TableContents"/>
              <w:spacing w:before="0" w:after="283"/>
              <w:rPr>
                <w:sz w:val="4"/>
                <w:szCs w:val="4"/>
              </w:rPr>
            </w:pPr>
            <w:r>
              <w:rPr>
                <w:sz w:val="4"/>
                <w:szCs w:val="4"/>
              </w:rPr>
            </w:r>
          </w:p>
        </w:tc>
        <w:tc>
          <w:tcPr>
            <w:tcW w:w="1342" w:type="dxa"/>
            <w:gridSpan w:val="2"/>
            <w:tcBorders/>
            <w:shd w:fill="00548B" w:val="clear"/>
            <w:vAlign w:val="center"/>
          </w:tcPr>
          <w:p>
            <w:pPr>
              <w:pStyle w:val="TableContents"/>
              <w:spacing w:before="0" w:after="283"/>
              <w:rPr>
                <w:sz w:val="4"/>
                <w:szCs w:val="4"/>
              </w:rPr>
            </w:pPr>
            <w:r>
              <w:rPr>
                <w:sz w:val="4"/>
                <w:szCs w:val="4"/>
              </w:rPr>
            </w:r>
          </w:p>
        </w:tc>
        <w:tc>
          <w:tcPr>
            <w:tcW w:w="3174" w:type="dxa"/>
            <w:gridSpan w:val="2"/>
            <w:tcBorders/>
            <w:shd w:fill="00548B" w:val="clear"/>
            <w:vAlign w:val="center"/>
          </w:tcPr>
          <w:p>
            <w:pPr>
              <w:pStyle w:val="TableContents"/>
              <w:spacing w:before="0" w:after="283"/>
              <w:rPr>
                <w:sz w:val="4"/>
                <w:szCs w:val="4"/>
              </w:rPr>
            </w:pPr>
            <w:r>
              <w:rPr>
                <w:sz w:val="4"/>
                <w:szCs w:val="4"/>
              </w:rPr>
            </w:r>
          </w:p>
        </w:tc>
        <w:tc>
          <w:tcPr>
            <w:tcW w:w="4019" w:type="dxa"/>
            <w:gridSpan w:val="6"/>
            <w:tcBorders/>
            <w:shd w:fill="00548B" w:val="clear"/>
            <w:vAlign w:val="center"/>
          </w:tcPr>
          <w:p>
            <w:pPr>
              <w:pStyle w:val="TableContents"/>
              <w:spacing w:before="0" w:after="283"/>
              <w:rPr>
                <w:sz w:val="4"/>
                <w:szCs w:val="4"/>
              </w:rPr>
            </w:pPr>
            <w:r>
              <w:rPr>
                <w:sz w:val="4"/>
                <w:szCs w:val="4"/>
              </w:rPr>
            </w:r>
          </w:p>
        </w:tc>
      </w:tr>
      <w:tr>
        <w:trPr/>
        <w:tc>
          <w:tcPr>
            <w:tcW w:w="1670" w:type="dxa"/>
            <w:tcBorders/>
            <w:shd w:fill="00548B" w:val="clear"/>
            <w:vAlign w:val="bottom"/>
          </w:tcPr>
          <w:p>
            <w:pPr>
              <w:pStyle w:val="TableContents"/>
              <w:spacing w:before="0" w:after="283"/>
              <w:jc w:val="center"/>
              <w:rPr>
                <w:b/>
                <w:color w:val="D8D8D8"/>
              </w:rPr>
            </w:pPr>
            <w:r>
              <w:rPr>
                <w:b/>
                <w:color w:val="D8D8D8"/>
              </w:rPr>
              <w:t>Qualitative</w:t>
              <w:br/>
              <w:t>Goals</w:t>
            </w:r>
          </w:p>
        </w:tc>
        <w:tc>
          <w:tcPr>
            <w:tcW w:w="151" w:type="dxa"/>
            <w:tcBorders/>
            <w:shd w:fill="00548B" w:val="clear"/>
            <w:vAlign w:val="bottom"/>
          </w:tcPr>
          <w:p>
            <w:pPr>
              <w:pStyle w:val="TableContents"/>
              <w:spacing w:before="0" w:after="283"/>
              <w:rPr/>
            </w:pPr>
            <w:r>
              <w:rPr/>
              <w:t> </w:t>
            </w:r>
          </w:p>
        </w:tc>
        <w:tc>
          <w:tcPr>
            <w:tcW w:w="1191" w:type="dxa"/>
            <w:tcBorders/>
            <w:shd w:fill="00548B" w:val="clear"/>
            <w:vAlign w:val="bottom"/>
          </w:tcPr>
          <w:p>
            <w:pPr>
              <w:pStyle w:val="TableContents"/>
              <w:spacing w:before="0" w:after="283"/>
              <w:jc w:val="center"/>
              <w:rPr>
                <w:b/>
                <w:color w:val="D8D8D8"/>
              </w:rPr>
            </w:pPr>
            <w:r>
              <w:rPr>
                <w:b/>
                <w:color w:val="D8D8D8"/>
              </w:rPr>
              <w:t>Weighting</w:t>
            </w:r>
          </w:p>
        </w:tc>
        <w:tc>
          <w:tcPr>
            <w:tcW w:w="100" w:type="dxa"/>
            <w:tcBorders/>
            <w:shd w:fill="00548B" w:val="clear"/>
            <w:vAlign w:val="bottom"/>
          </w:tcPr>
          <w:p>
            <w:pPr>
              <w:pStyle w:val="TableContents"/>
              <w:spacing w:before="0" w:after="283"/>
              <w:rPr/>
            </w:pPr>
            <w:r>
              <w:rPr/>
              <w:t> </w:t>
            </w:r>
          </w:p>
        </w:tc>
        <w:tc>
          <w:tcPr>
            <w:tcW w:w="3074" w:type="dxa"/>
            <w:tcBorders/>
            <w:shd w:fill="00548B" w:val="clear"/>
            <w:vAlign w:val="bottom"/>
          </w:tcPr>
          <w:p>
            <w:pPr>
              <w:pStyle w:val="TableContents"/>
              <w:spacing w:before="0" w:after="283"/>
              <w:jc w:val="center"/>
              <w:rPr>
                <w:b/>
                <w:color w:val="D8D8D8"/>
              </w:rPr>
            </w:pPr>
            <w:r>
              <w:rPr>
                <w:b/>
                <w:color w:val="D8D8D8"/>
              </w:rPr>
              <w:t>Alignment of Strategic Priorities with</w:t>
              <w:br/>
              <w:t>Shareholder Value</w:t>
            </w:r>
          </w:p>
        </w:tc>
        <w:tc>
          <w:tcPr>
            <w:tcW w:w="100" w:type="dxa"/>
            <w:tcBorders/>
            <w:shd w:fill="00548B" w:val="clear"/>
            <w:vAlign w:val="bottom"/>
          </w:tcPr>
          <w:p>
            <w:pPr>
              <w:pStyle w:val="TableContents"/>
              <w:spacing w:before="0" w:after="283"/>
              <w:rPr/>
            </w:pPr>
            <w:r>
              <w:rPr/>
              <w:t> </w:t>
            </w:r>
          </w:p>
        </w:tc>
        <w:tc>
          <w:tcPr>
            <w:tcW w:w="3919" w:type="dxa"/>
            <w:gridSpan w:val="5"/>
            <w:tcBorders/>
            <w:shd w:fill="00548B" w:val="clear"/>
            <w:vAlign w:val="bottom"/>
          </w:tcPr>
          <w:p>
            <w:pPr>
              <w:pStyle w:val="TableContents"/>
              <w:spacing w:before="0" w:after="20"/>
              <w:rPr>
                <w:rFonts w:ascii="arial" w:hAnsi="arial"/>
                <w:b/>
                <w:color w:val="D8D8D8"/>
                <w:sz w:val="16"/>
              </w:rPr>
            </w:pPr>
            <w:r>
              <w:rPr>
                <w:rFonts w:ascii="arial" w:hAnsi="arial"/>
                <w:b/>
                <w:color w:val="D8D8D8"/>
                <w:sz w:val="16"/>
              </w:rPr>
              <w:t>Level of Achievement</w:t>
            </w:r>
          </w:p>
        </w:tc>
      </w:tr>
      <w:tr>
        <w:trPr/>
        <w:tc>
          <w:tcPr>
            <w:tcW w:w="1670" w:type="dxa"/>
            <w:tcBorders>
              <w:bottom w:val="single" w:sz="2" w:space="0" w:color="999999"/>
            </w:tcBorders>
            <w:shd w:fill="auto" w:val="clear"/>
            <w:tcMar>
              <w:bottom w:w="28" w:type="dxa"/>
            </w:tcMar>
            <w:vAlign w:val="center"/>
          </w:tcPr>
          <w:p>
            <w:pPr>
              <w:pStyle w:val="TableContents"/>
              <w:spacing w:before="0" w:after="0"/>
              <w:rPr>
                <w:rFonts w:ascii="arial" w:hAnsi="arial"/>
                <w:sz w:val="18"/>
              </w:rPr>
            </w:pPr>
            <w:r>
              <w:rPr>
                <w:rFonts w:ascii="arial" w:hAnsi="arial"/>
                <w:sz w:val="18"/>
              </w:rPr>
              <w:t>Enterprise</w:t>
            </w:r>
          </w:p>
        </w:tc>
        <w:tc>
          <w:tcPr>
            <w:tcW w:w="151" w:type="dxa"/>
            <w:tcBorders>
              <w:bottom w:val="single" w:sz="2" w:space="0" w:color="999999"/>
            </w:tcBorders>
            <w:shd w:fill="auto" w:val="clear"/>
            <w:tcMar>
              <w:bottom w:w="28" w:type="dxa"/>
            </w:tcMar>
            <w:vAlign w:val="bottom"/>
          </w:tcPr>
          <w:p>
            <w:pPr>
              <w:pStyle w:val="TableContents"/>
              <w:spacing w:before="0" w:after="283"/>
              <w:rPr/>
            </w:pPr>
            <w:r>
              <w:rPr/>
              <w:t> </w:t>
            </w:r>
          </w:p>
        </w:tc>
        <w:tc>
          <w:tcPr>
            <w:tcW w:w="1191" w:type="dxa"/>
            <w:tcBorders>
              <w:bottom w:val="single" w:sz="2" w:space="0" w:color="999999"/>
            </w:tcBorders>
            <w:shd w:fill="auto" w:val="clear"/>
            <w:tcMar>
              <w:bottom w:w="28" w:type="dxa"/>
            </w:tcMar>
            <w:vAlign w:val="center"/>
          </w:tcPr>
          <w:p>
            <w:pPr>
              <w:pStyle w:val="TableContents"/>
              <w:spacing w:before="0" w:after="283"/>
              <w:rPr/>
            </w:pPr>
            <w:r>
              <w:rPr/>
              <w:t>49%</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3074" w:type="dxa"/>
            <w:tcBorders>
              <w:bottom w:val="single" w:sz="2" w:space="0" w:color="999999"/>
            </w:tcBorders>
            <w:shd w:fill="auto" w:val="clear"/>
            <w:tcMar>
              <w:bottom w:w="28" w:type="dxa"/>
            </w:tcMar>
          </w:tcPr>
          <w:p>
            <w:pPr>
              <w:pStyle w:val="TableContents"/>
              <w:spacing w:before="0" w:after="0"/>
              <w:jc w:val="both"/>
              <w:rPr>
                <w:rFonts w:ascii="arial" w:hAnsi="arial"/>
                <w:sz w:val="18"/>
              </w:rPr>
            </w:pPr>
            <w:r>
              <w:rPr>
                <w:rFonts w:ascii="arial" w:hAnsi="arial"/>
                <w:sz w:val="18"/>
              </w:rPr>
              <w:t>Focused on ensuring the health and safety of our people and managing our business to the best of our ability during the global pandemic and sustaining organic growth over time through the advancement and execution of Hurons five-year strategic plan. Measures primarily included COVID-19 initiatives focused on keeping our people safe while also meeting the needs of our clients and people.</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center"/>
          </w:tcPr>
          <w:p>
            <w:pPr>
              <w:pStyle w:val="TableContents"/>
              <w:spacing w:before="0" w:after="283"/>
              <w:rPr/>
            </w:pPr>
            <w:r>
              <w:rPr/>
              <w:t> </w:t>
            </w:r>
          </w:p>
        </w:tc>
        <w:tc>
          <w:tcPr>
            <w:tcW w:w="666" w:type="dxa"/>
            <w:tcBorders>
              <w:bottom w:val="single" w:sz="2" w:space="0" w:color="999999"/>
            </w:tcBorders>
            <w:shd w:fill="auto" w:val="clear"/>
            <w:tcMar>
              <w:bottom w:w="28" w:type="dxa"/>
            </w:tcMar>
            <w:vAlign w:val="center"/>
          </w:tcPr>
          <w:p>
            <w:pPr>
              <w:pStyle w:val="TableContents"/>
              <w:spacing w:before="0" w:after="283"/>
              <w:rPr/>
            </w:pPr>
            <w:r>
              <w:rPr/>
              <w:t>94%</w:t>
            </w:r>
          </w:p>
        </w:tc>
        <w:tc>
          <w:tcPr>
            <w:tcW w:w="290" w:type="dxa"/>
            <w:tcBorders>
              <w:bottom w:val="single" w:sz="2" w:space="0" w:color="999999"/>
            </w:tcBorders>
            <w:shd w:fill="auto" w:val="clear"/>
            <w:tcMar>
              <w:bottom w:w="28" w:type="dxa"/>
            </w:tcMar>
            <w:vAlign w:val="center"/>
          </w:tcPr>
          <w:p>
            <w:pPr>
              <w:pStyle w:val="TableContents"/>
              <w:spacing w:before="0" w:after="283"/>
              <w:rPr/>
            </w:pPr>
            <w:r>
              <w:rPr/>
              <w:t> </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2803" w:type="dxa"/>
            <w:tcBorders>
              <w:bottom w:val="single" w:sz="2" w:space="0" w:color="999999"/>
            </w:tcBorders>
            <w:shd w:fill="auto" w:val="clear"/>
            <w:tcMar>
              <w:bottom w:w="28" w:type="dxa"/>
            </w:tcMar>
          </w:tcPr>
          <w:p>
            <w:pPr>
              <w:pStyle w:val="TableContents"/>
              <w:spacing w:before="0" w:after="0"/>
              <w:jc w:val="both"/>
              <w:rPr>
                <w:rFonts w:ascii="arial" w:hAnsi="arial"/>
                <w:sz w:val="18"/>
              </w:rPr>
            </w:pPr>
            <w:r>
              <w:rPr>
                <w:rFonts w:ascii="arial" w:hAnsi="arial"/>
                <w:sz w:val="18"/>
              </w:rPr>
              <w:t>Developed a flexible COVID-19 safety and continuity plan that met the needs of our clients and our people. Provided additional support to our people to help them manage through the pandemic professionally and personally. Invested in areas focused on growth, collaboration and efficiency, including innovative services to address our clients challenges stemming from the COVID-19 pandemic; Hurons growth priorities and enterprise capabilities; and the advancement of the Companys commercial strategy to further integrate and scale our businesses to accelerate growth.</w:t>
            </w:r>
          </w:p>
        </w:tc>
      </w:tr>
      <w:tr>
        <w:trPr/>
        <w:tc>
          <w:tcPr>
            <w:tcW w:w="1670" w:type="dxa"/>
            <w:tcBorders>
              <w:bottom w:val="single" w:sz="2" w:space="0" w:color="999999"/>
            </w:tcBorders>
            <w:shd w:fill="auto" w:val="clear"/>
            <w:tcMar>
              <w:bottom w:w="28" w:type="dxa"/>
            </w:tcMar>
            <w:vAlign w:val="center"/>
          </w:tcPr>
          <w:p>
            <w:pPr>
              <w:pStyle w:val="TableContents"/>
              <w:spacing w:before="0" w:after="0"/>
              <w:rPr>
                <w:rFonts w:ascii="arial" w:hAnsi="arial"/>
                <w:sz w:val="18"/>
              </w:rPr>
            </w:pPr>
            <w:r>
              <w:rPr>
                <w:rFonts w:ascii="arial" w:hAnsi="arial"/>
                <w:sz w:val="18"/>
              </w:rPr>
              <w:t>Business Unit</w:t>
            </w:r>
          </w:p>
        </w:tc>
        <w:tc>
          <w:tcPr>
            <w:tcW w:w="151" w:type="dxa"/>
            <w:tcBorders>
              <w:bottom w:val="single" w:sz="2" w:space="0" w:color="999999"/>
            </w:tcBorders>
            <w:shd w:fill="auto" w:val="clear"/>
            <w:tcMar>
              <w:bottom w:w="28" w:type="dxa"/>
            </w:tcMar>
            <w:vAlign w:val="bottom"/>
          </w:tcPr>
          <w:p>
            <w:pPr>
              <w:pStyle w:val="TableContents"/>
              <w:spacing w:before="0" w:after="283"/>
              <w:rPr/>
            </w:pPr>
            <w:r>
              <w:rPr/>
              <w:t> </w:t>
            </w:r>
          </w:p>
        </w:tc>
        <w:tc>
          <w:tcPr>
            <w:tcW w:w="1191" w:type="dxa"/>
            <w:tcBorders>
              <w:bottom w:val="single" w:sz="2" w:space="0" w:color="999999"/>
            </w:tcBorders>
            <w:shd w:fill="auto" w:val="clear"/>
            <w:tcMar>
              <w:bottom w:w="28" w:type="dxa"/>
            </w:tcMar>
            <w:vAlign w:val="center"/>
          </w:tcPr>
          <w:p>
            <w:pPr>
              <w:pStyle w:val="TableContents"/>
              <w:spacing w:before="0" w:after="283"/>
              <w:rPr/>
            </w:pPr>
            <w:r>
              <w:rPr/>
              <w:t>4%</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3074" w:type="dxa"/>
            <w:tcBorders>
              <w:bottom w:val="single" w:sz="2" w:space="0" w:color="999999"/>
            </w:tcBorders>
            <w:shd w:fill="auto" w:val="clear"/>
            <w:tcMar>
              <w:bottom w:w="28" w:type="dxa"/>
            </w:tcMar>
          </w:tcPr>
          <w:p>
            <w:pPr>
              <w:pStyle w:val="TableContents"/>
              <w:spacing w:before="0" w:after="0"/>
              <w:jc w:val="both"/>
              <w:rPr>
                <w:rFonts w:ascii="arial" w:hAnsi="arial"/>
                <w:sz w:val="18"/>
              </w:rPr>
            </w:pPr>
            <w:r>
              <w:rPr>
                <w:rFonts w:ascii="arial" w:hAnsi="arial"/>
                <w:sz w:val="18"/>
              </w:rPr>
              <w:t>Focused on strategically positioning Huron to achieve sustainable organic revenue growth over time, including advancing our growth priorities and capabilities that align with Hurons enterprise-level strategy, ensuring customer satisfaction and high-quality delivery while balancing growth and strengthening our leadership key areas. Specific goals vary by business unit.</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center"/>
          </w:tcPr>
          <w:p>
            <w:pPr>
              <w:pStyle w:val="TableContents"/>
              <w:spacing w:before="0" w:after="283"/>
              <w:rPr/>
            </w:pPr>
            <w:r>
              <w:rPr/>
              <w:t> </w:t>
            </w:r>
          </w:p>
        </w:tc>
        <w:tc>
          <w:tcPr>
            <w:tcW w:w="666" w:type="dxa"/>
            <w:tcBorders>
              <w:bottom w:val="single" w:sz="2" w:space="0" w:color="999999"/>
            </w:tcBorders>
            <w:shd w:fill="auto" w:val="clear"/>
            <w:tcMar>
              <w:bottom w:w="28" w:type="dxa"/>
            </w:tcMar>
            <w:vAlign w:val="center"/>
          </w:tcPr>
          <w:p>
            <w:pPr>
              <w:pStyle w:val="TableContents"/>
              <w:spacing w:before="0" w:after="283"/>
              <w:rPr/>
            </w:pPr>
            <w:r>
              <w:rPr/>
              <w:t>4%</w:t>
            </w:r>
          </w:p>
        </w:tc>
        <w:tc>
          <w:tcPr>
            <w:tcW w:w="290" w:type="dxa"/>
            <w:tcBorders>
              <w:bottom w:val="single" w:sz="2" w:space="0" w:color="999999"/>
            </w:tcBorders>
            <w:shd w:fill="auto" w:val="clear"/>
            <w:tcMar>
              <w:bottom w:w="28" w:type="dxa"/>
            </w:tcMar>
            <w:vAlign w:val="center"/>
          </w:tcPr>
          <w:p>
            <w:pPr>
              <w:pStyle w:val="TableContents"/>
              <w:spacing w:before="0" w:after="283"/>
              <w:rPr/>
            </w:pPr>
            <w:r>
              <w:rPr/>
              <w:t> </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2803" w:type="dxa"/>
            <w:tcBorders>
              <w:bottom w:val="single" w:sz="2" w:space="0" w:color="999999"/>
            </w:tcBorders>
            <w:shd w:fill="auto" w:val="clear"/>
            <w:tcMar>
              <w:bottom w:w="28" w:type="dxa"/>
            </w:tcMar>
          </w:tcPr>
          <w:p>
            <w:pPr>
              <w:pStyle w:val="TableContents"/>
              <w:spacing w:before="0" w:after="0"/>
              <w:jc w:val="both"/>
              <w:rPr>
                <w:rFonts w:ascii="arial" w:hAnsi="arial"/>
                <w:sz w:val="18"/>
              </w:rPr>
            </w:pPr>
            <w:r>
              <w:rPr>
                <w:rFonts w:ascii="arial" w:hAnsi="arial"/>
                <w:sz w:val="18"/>
              </w:rPr>
              <w:t>Areas of focus included successfully launching new service lines, advancing our practice strategies, and further developing leaders to accelerate growth in several key areas.</w:t>
            </w:r>
          </w:p>
        </w:tc>
      </w:tr>
      <w:tr>
        <w:trPr/>
        <w:tc>
          <w:tcPr>
            <w:tcW w:w="1670" w:type="dxa"/>
            <w:tcBorders>
              <w:bottom w:val="single" w:sz="2" w:space="0" w:color="00548B"/>
            </w:tcBorders>
            <w:shd w:fill="auto" w:val="clear"/>
            <w:tcMar>
              <w:bottom w:w="28" w:type="dxa"/>
            </w:tcMar>
          </w:tcPr>
          <w:p>
            <w:pPr>
              <w:pStyle w:val="TableContents"/>
              <w:spacing w:before="0" w:after="0"/>
              <w:rPr>
                <w:rFonts w:ascii="arial" w:hAnsi="arial"/>
                <w:b/>
                <w:sz w:val="18"/>
              </w:rPr>
            </w:pPr>
            <w:r>
              <w:rPr>
                <w:rFonts w:ascii="arial" w:hAnsi="arial"/>
                <w:b/>
                <w:sz w:val="18"/>
              </w:rPr>
              <w:t>Total</w:t>
            </w:r>
          </w:p>
        </w:tc>
        <w:tc>
          <w:tcPr>
            <w:tcW w:w="151" w:type="dxa"/>
            <w:tcBorders>
              <w:bottom w:val="single" w:sz="2" w:space="0" w:color="00548B"/>
            </w:tcBorders>
            <w:shd w:fill="auto" w:val="clear"/>
            <w:tcMar>
              <w:bottom w:w="28" w:type="dxa"/>
            </w:tcMar>
            <w:vAlign w:val="bottom"/>
          </w:tcPr>
          <w:p>
            <w:pPr>
              <w:pStyle w:val="TableContents"/>
              <w:spacing w:before="0" w:after="283"/>
              <w:rPr/>
            </w:pPr>
            <w:r>
              <w:rPr/>
              <w:t> </w:t>
            </w:r>
          </w:p>
        </w:tc>
        <w:tc>
          <w:tcPr>
            <w:tcW w:w="1191" w:type="dxa"/>
            <w:tcBorders>
              <w:bottom w:val="single" w:sz="2" w:space="0" w:color="00548B"/>
            </w:tcBorders>
            <w:shd w:fill="auto" w:val="clear"/>
            <w:tcMar>
              <w:bottom w:w="28" w:type="dxa"/>
            </w:tcMar>
            <w:vAlign w:val="bottom"/>
          </w:tcPr>
          <w:p>
            <w:pPr>
              <w:pStyle w:val="TableContents"/>
              <w:spacing w:before="0" w:after="283"/>
              <w:rPr>
                <w:rFonts w:ascii="ARIAL" w:hAnsi="ARIAL"/>
                <w:b/>
              </w:rPr>
            </w:pPr>
            <w:r>
              <w:rPr>
                <w:rFonts w:ascii="ARIAL" w:hAnsi="ARIAL"/>
                <w:b/>
              </w:rPr>
              <w:t>100%</w:t>
            </w:r>
          </w:p>
        </w:tc>
        <w:tc>
          <w:tcPr>
            <w:tcW w:w="100" w:type="dxa"/>
            <w:tcBorders>
              <w:bottom w:val="single" w:sz="2" w:space="0" w:color="00548B"/>
            </w:tcBorders>
            <w:shd w:fill="auto" w:val="clear"/>
            <w:tcMar>
              <w:bottom w:w="28" w:type="dxa"/>
            </w:tcMar>
            <w:vAlign w:val="bottom"/>
          </w:tcPr>
          <w:p>
            <w:pPr>
              <w:pStyle w:val="TableContents"/>
              <w:spacing w:before="0" w:after="283"/>
              <w:rPr/>
            </w:pPr>
            <w:r>
              <w:rPr/>
              <w:t> </w:t>
            </w:r>
          </w:p>
        </w:tc>
        <w:tc>
          <w:tcPr>
            <w:tcW w:w="3074" w:type="dxa"/>
            <w:tcBorders>
              <w:bottom w:val="single" w:sz="2" w:space="0" w:color="00548B"/>
            </w:tcBorders>
            <w:shd w:fill="auto" w:val="clear"/>
            <w:tcMar>
              <w:bottom w:w="28" w:type="dxa"/>
            </w:tcMar>
            <w:vAlign w:val="bottom"/>
          </w:tcPr>
          <w:p>
            <w:pPr>
              <w:pStyle w:val="TableContents"/>
              <w:spacing w:before="0" w:after="283"/>
              <w:rPr/>
            </w:pPr>
            <w:r>
              <w:rPr/>
              <w:t> </w:t>
            </w:r>
          </w:p>
        </w:tc>
        <w:tc>
          <w:tcPr>
            <w:tcW w:w="10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66" w:type="dxa"/>
            <w:tcBorders>
              <w:bottom w:val="single" w:sz="2" w:space="0" w:color="00548B"/>
            </w:tcBorders>
            <w:shd w:fill="auto" w:val="clear"/>
            <w:tcMar>
              <w:bottom w:w="28" w:type="dxa"/>
            </w:tcMar>
            <w:vAlign w:val="bottom"/>
          </w:tcPr>
          <w:p>
            <w:pPr>
              <w:pStyle w:val="TableContents"/>
              <w:spacing w:before="0" w:after="283"/>
              <w:jc w:val="right"/>
              <w:rPr>
                <w:rFonts w:ascii="ARIAL" w:hAnsi="ARIAL"/>
                <w:b/>
              </w:rPr>
            </w:pPr>
            <w:r>
              <w:rPr>
                <w:rFonts w:ascii="ARIAL" w:hAnsi="ARIAL"/>
                <w:b/>
              </w:rPr>
              <w:t>176.7</w:t>
            </w:r>
          </w:p>
        </w:tc>
        <w:tc>
          <w:tcPr>
            <w:tcW w:w="290" w:type="dxa"/>
            <w:tcBorders>
              <w:bottom w:val="single" w:sz="2" w:space="0" w:color="00548B"/>
            </w:tcBorders>
            <w:shd w:fill="auto" w:val="clear"/>
            <w:tcMar>
              <w:bottom w:w="28" w:type="dxa"/>
            </w:tcMar>
            <w:vAlign w:val="bottom"/>
          </w:tcPr>
          <w:p>
            <w:pPr>
              <w:pStyle w:val="TableContents"/>
              <w:spacing w:before="0" w:after="283"/>
              <w:rPr>
                <w:rFonts w:ascii="ARIAL" w:hAnsi="ARIAL"/>
                <w:b/>
              </w:rPr>
            </w:pPr>
            <w:r>
              <w:rPr>
                <w:rFonts w:ascii="ARIAL" w:hAnsi="ARIAL"/>
                <w:b/>
              </w:rPr>
              <w:t>% </w:t>
            </w:r>
          </w:p>
        </w:tc>
        <w:tc>
          <w:tcPr>
            <w:tcW w:w="100" w:type="dxa"/>
            <w:tcBorders>
              <w:bottom w:val="single" w:sz="2" w:space="0" w:color="00548B"/>
            </w:tcBorders>
            <w:shd w:fill="auto" w:val="clear"/>
            <w:tcMar>
              <w:bottom w:w="28" w:type="dxa"/>
            </w:tcMar>
            <w:vAlign w:val="bottom"/>
          </w:tcPr>
          <w:p>
            <w:pPr>
              <w:pStyle w:val="TableContents"/>
              <w:spacing w:before="0" w:after="283"/>
              <w:rPr/>
            </w:pPr>
            <w:r>
              <w:rPr/>
              <w:t> </w:t>
            </w:r>
          </w:p>
        </w:tc>
        <w:tc>
          <w:tcPr>
            <w:tcW w:w="2803"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Non-executives participate in annual incentive award opportunities tied to a variety of Business Unit and corporate performance metrics. The broader corporate bonus pool funded at 65% of target in 2020. In recognition of the significant challenges 2020 presented, the broader corporate bonus pool funding level and the NEOs leadership in achieving this broader performance, the Committee determined it would be inconsistent with the Companys compensation philosophy to penalize or disproportionately reward the NEOs compared to other executives. The NEOs were critical in developing the Companys response to the impact of COVID, positioning our Business Advisory segment to achieve record revenue in 2020, and deploying resources to develop innovative solutions to assist our clients, generating $30 million in revenues from new services. Therefore, the Committee approved cash bonus for the NEOs 2020 equal to 30% of target to provide a total 65% of target payout for the NEOs under the annual incentive program. </w:t>
      </w:r>
    </w:p>
    <w:p>
      <w:pPr>
        <w:pStyle w:val="TextBody"/>
        <w:spacing w:before="200" w:after="0"/>
        <w:jc w:val="both"/>
        <w:rPr>
          <w:rFonts w:ascii="arial" w:hAnsi="arial"/>
          <w:sz w:val="18"/>
        </w:rPr>
      </w:pPr>
      <w:r>
        <w:rPr>
          <w:rFonts w:ascii="arial" w:hAnsi="arial"/>
          <w:sz w:val="18"/>
        </w:rPr>
        <w:t xml:space="preserve">Further, the NEO annual incentive program requires that awards be capped at target if the Companys absolute total shareholder return during the year is not positive. This feature was not relevant to the 2020 annual incentives, which provided for a below-target payout. </w:t>
      </w:r>
    </w:p>
    <w:p>
      <w:pPr>
        <w:pStyle w:val="TextBody"/>
        <w:spacing w:before="200" w:after="0"/>
        <w:jc w:val="both"/>
        <w:rPr>
          <w:rFonts w:ascii="arial" w:hAnsi="arial"/>
          <w:b/>
          <w:i/>
          <w:color w:val="00548B"/>
          <w:sz w:val="18"/>
        </w:rPr>
      </w:pPr>
      <w:r>
        <w:rPr>
          <w:rFonts w:ascii="arial" w:hAnsi="arial"/>
          <w:b/>
          <w:i/>
          <w:color w:val="00548B"/>
          <w:sz w:val="18"/>
        </w:rPr>
        <w:t xml:space="preserve">Outstanding PSUs </w:t>
      </w:r>
    </w:p>
    <w:p>
      <w:pPr>
        <w:pStyle w:val="TextBody"/>
        <w:spacing w:before="0" w:after="0"/>
        <w:jc w:val="both"/>
        <w:rPr>
          <w:rFonts w:ascii="arial" w:hAnsi="arial"/>
          <w:sz w:val="18"/>
        </w:rPr>
      </w:pPr>
      <w:r>
        <w:rPr>
          <w:rFonts w:ascii="arial" w:hAnsi="arial"/>
          <w:sz w:val="18"/>
        </w:rPr>
        <w:t xml:space="preserve">There were three outstanding PSU cycles during 2020, those granted in 2018, 2019 and 2020. Each of the PSU cycles reflect 70% of each NEOs target long-term incentive award opportunity and are determined based on performance against two predetermined absolute three-year goals (Adjusted Diluted EPS weighted at 40% and Revenue Growth weighted at 30%)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03"/>
        <w:gridCol w:w="102"/>
        <w:gridCol w:w="9391"/>
      </w:tblGrid>
      <w:tr>
        <w:trPr/>
        <w:tc>
          <w:tcPr>
            <w:tcW w:w="509"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color w:val="00548B"/>
              </w:rPr>
            </w:pPr>
            <w:r>
              <w:rPr>
                <w:color w:val="00548B"/>
              </w:rPr>
              <w:t></w:t>
            </w:r>
          </w:p>
        </w:tc>
        <w:tc>
          <w:tcPr>
            <w:tcW w:w="102"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arial" w:hAnsi="arial"/>
                <w:sz w:val="18"/>
              </w:rPr>
            </w:pPr>
            <w:r>
              <w:rPr>
                <w:rFonts w:ascii="arial" w:hAnsi="arial"/>
                <w:b/>
                <w:sz w:val="18"/>
              </w:rPr>
              <w:t>The Committee did not make any adjustments to these outstanding awards, despite the significant unforeseen negative impact of COVID-19 on the estimated payouts for the NEOs</w:t>
            </w:r>
            <w:r>
              <w:rPr>
                <w:rFonts w:ascii="arial" w:hAnsi="arial"/>
                <w:sz w:val="18"/>
              </w:rPr>
              <w:t xml:space="preserve">. </w:t>
            </w:r>
          </w:p>
        </w:tc>
      </w:tr>
    </w:tbl>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652"/>
        <w:gridCol w:w="122"/>
        <w:gridCol w:w="3153"/>
        <w:gridCol w:w="219"/>
        <w:gridCol w:w="3059"/>
      </w:tblGrid>
      <w:tr>
        <w:trPr/>
        <w:tc>
          <w:tcPr>
            <w:tcW w:w="3652"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3153" w:type="dxa"/>
            <w:tcBorders/>
            <w:shd w:fill="auto" w:val="clear"/>
            <w:vAlign w:val="center"/>
          </w:tcPr>
          <w:p>
            <w:pPr>
              <w:pStyle w:val="TableContents"/>
              <w:spacing w:before="0" w:after="283"/>
              <w:rPr>
                <w:sz w:val="4"/>
                <w:szCs w:val="4"/>
              </w:rPr>
            </w:pPr>
            <w:r>
              <w:rPr>
                <w:sz w:val="4"/>
                <w:szCs w:val="4"/>
              </w:rPr>
            </w:r>
          </w:p>
        </w:tc>
        <w:tc>
          <w:tcPr>
            <w:tcW w:w="219" w:type="dxa"/>
            <w:tcBorders/>
            <w:shd w:fill="auto" w:val="clear"/>
            <w:vAlign w:val="bottom"/>
          </w:tcPr>
          <w:p>
            <w:pPr>
              <w:pStyle w:val="TableContents"/>
              <w:spacing w:before="0" w:after="283"/>
              <w:rPr>
                <w:sz w:val="4"/>
                <w:szCs w:val="4"/>
              </w:rPr>
            </w:pPr>
            <w:r>
              <w:rPr>
                <w:sz w:val="4"/>
                <w:szCs w:val="4"/>
              </w:rPr>
            </w:r>
          </w:p>
        </w:tc>
        <w:tc>
          <w:tcPr>
            <w:tcW w:w="3059" w:type="dxa"/>
            <w:tcBorders/>
            <w:shd w:fill="auto" w:val="clear"/>
            <w:vAlign w:val="center"/>
          </w:tcPr>
          <w:p>
            <w:pPr>
              <w:pStyle w:val="TableContents"/>
              <w:spacing w:before="0" w:after="283"/>
              <w:rPr>
                <w:sz w:val="4"/>
                <w:szCs w:val="4"/>
              </w:rPr>
            </w:pPr>
            <w:r>
              <w:rPr>
                <w:sz w:val="4"/>
                <w:szCs w:val="4"/>
              </w:rPr>
            </w:r>
          </w:p>
        </w:tc>
      </w:tr>
      <w:tr>
        <w:trPr/>
        <w:tc>
          <w:tcPr>
            <w:tcW w:w="3652" w:type="dxa"/>
            <w:tcBorders/>
            <w:shd w:fill="00548B" w:val="clear"/>
            <w:vAlign w:val="bottom"/>
          </w:tcPr>
          <w:p>
            <w:pPr>
              <w:pStyle w:val="TableContents"/>
              <w:spacing w:before="0" w:after="0"/>
              <w:rPr/>
            </w:pPr>
            <w:r>
              <w:rPr/>
              <w:t> </w:t>
            </w:r>
          </w:p>
          <w:p>
            <w:pPr>
              <w:pStyle w:val="TableContents"/>
              <w:spacing w:before="0" w:after="0"/>
              <w:rPr>
                <w:color w:val="E5E5E5"/>
              </w:rPr>
            </w:pPr>
            <w:r>
              <w:rPr>
                <w:color w:val="E5E5E5"/>
              </w:rPr>
              <w:t>   </w:t>
            </w:r>
            <w:r>
              <w:rPr>
                <w:rFonts w:ascii="arial" w:hAnsi="arial"/>
                <w:b/>
                <w:color w:val="E5E5E5"/>
                <w:sz w:val="16"/>
              </w:rPr>
              <w:t>Performance Cycle</w:t>
            </w:r>
          </w:p>
          <w:p>
            <w:pPr>
              <w:pStyle w:val="TableContents"/>
              <w:spacing w:before="0" w:after="20"/>
              <w:rPr/>
            </w:pPr>
            <w:r>
              <w:rPr/>
              <w:t> </w:t>
            </w:r>
          </w:p>
        </w:tc>
        <w:tc>
          <w:tcPr>
            <w:tcW w:w="122" w:type="dxa"/>
            <w:tcBorders/>
            <w:shd w:fill="00548B" w:val="clear"/>
            <w:vAlign w:val="bottom"/>
          </w:tcPr>
          <w:p>
            <w:pPr>
              <w:pStyle w:val="TableContents"/>
              <w:spacing w:before="0" w:after="283"/>
              <w:rPr/>
            </w:pPr>
            <w:r>
              <w:rPr/>
              <w:t>  </w:t>
            </w:r>
          </w:p>
        </w:tc>
        <w:tc>
          <w:tcPr>
            <w:tcW w:w="3153" w:type="dxa"/>
            <w:tcBorders/>
            <w:shd w:fill="00548B" w:val="clear"/>
            <w:vAlign w:val="bottom"/>
          </w:tcPr>
          <w:p>
            <w:pPr>
              <w:pStyle w:val="TableContents"/>
              <w:spacing w:before="0" w:after="0"/>
              <w:rPr/>
            </w:pPr>
            <w:r>
              <w:rPr/>
              <w:t> </w:t>
            </w:r>
          </w:p>
          <w:p>
            <w:pPr>
              <w:pStyle w:val="TableContents"/>
              <w:spacing w:before="0" w:after="0"/>
              <w:jc w:val="center"/>
              <w:rPr>
                <w:rFonts w:ascii="arial" w:hAnsi="arial"/>
                <w:b/>
                <w:color w:val="E5E5E5"/>
                <w:sz w:val="16"/>
              </w:rPr>
            </w:pPr>
            <w:r>
              <w:rPr>
                <w:rFonts w:ascii="arial" w:hAnsi="arial"/>
                <w:b/>
                <w:color w:val="E5E5E5"/>
                <w:sz w:val="16"/>
              </w:rPr>
              <w:t>Estimated Payout as a % of</w:t>
              <w:br/>
              <w:t>Target - Performance Through</w:t>
              <w:br/>
              <w:t>12/31/19</w:t>
            </w:r>
          </w:p>
          <w:p>
            <w:pPr>
              <w:pStyle w:val="TableContents"/>
              <w:spacing w:before="0" w:after="20"/>
              <w:jc w:val="left"/>
              <w:rPr/>
            </w:pPr>
            <w:r>
              <w:rPr/>
              <w:t> </w:t>
            </w:r>
          </w:p>
        </w:tc>
        <w:tc>
          <w:tcPr>
            <w:tcW w:w="219" w:type="dxa"/>
            <w:tcBorders/>
            <w:shd w:fill="00548B" w:val="clear"/>
            <w:vAlign w:val="bottom"/>
          </w:tcPr>
          <w:p>
            <w:pPr>
              <w:pStyle w:val="TableContents"/>
              <w:spacing w:before="0" w:after="283"/>
              <w:rPr/>
            </w:pPr>
            <w:r>
              <w:rPr/>
              <w:t>  </w:t>
            </w:r>
          </w:p>
        </w:tc>
        <w:tc>
          <w:tcPr>
            <w:tcW w:w="3059" w:type="dxa"/>
            <w:tcBorders/>
            <w:shd w:fill="00548B" w:val="clear"/>
            <w:vAlign w:val="bottom"/>
          </w:tcPr>
          <w:p>
            <w:pPr>
              <w:pStyle w:val="TableContents"/>
              <w:spacing w:before="0" w:after="0"/>
              <w:rPr/>
            </w:pPr>
            <w:r>
              <w:rPr/>
              <w:t> </w:t>
            </w:r>
          </w:p>
          <w:p>
            <w:pPr>
              <w:pStyle w:val="TableContents"/>
              <w:spacing w:before="0" w:after="0"/>
              <w:jc w:val="center"/>
              <w:rPr>
                <w:rFonts w:ascii="arial" w:hAnsi="arial"/>
                <w:b/>
                <w:color w:val="E5E5E5"/>
                <w:sz w:val="16"/>
              </w:rPr>
            </w:pPr>
            <w:r>
              <w:rPr>
                <w:rFonts w:ascii="arial" w:hAnsi="arial"/>
                <w:b/>
                <w:color w:val="E5E5E5"/>
                <w:sz w:val="16"/>
              </w:rPr>
              <w:t>Payout as a % of</w:t>
              <w:br/>
              <w:t>Target - Performance Through</w:t>
              <w:br/>
              <w:t>12/31/20</w:t>
            </w:r>
          </w:p>
          <w:p>
            <w:pPr>
              <w:pStyle w:val="TableContents"/>
              <w:spacing w:before="0" w:after="20"/>
              <w:jc w:val="left"/>
              <w:rPr/>
            </w:pPr>
            <w:r>
              <w:rPr/>
              <w:t> </w:t>
            </w:r>
          </w:p>
        </w:tc>
      </w:tr>
      <w:tr>
        <w:trPr/>
        <w:tc>
          <w:tcPr>
            <w:tcW w:w="3652" w:type="dxa"/>
            <w:tcBorders/>
            <w:shd w:fill="auto" w:val="clear"/>
          </w:tcPr>
          <w:p>
            <w:pPr>
              <w:pStyle w:val="TableContents"/>
              <w:spacing w:before="0" w:after="0"/>
              <w:rPr/>
            </w:pPr>
            <w:r>
              <w:rPr/>
              <w:t>  </w:t>
            </w:r>
            <w:r>
              <w:rPr>
                <w:rFonts w:ascii="arial" w:hAnsi="arial"/>
                <w:sz w:val="18"/>
              </w:rPr>
              <w:t>2018 - 2020</w:t>
            </w:r>
          </w:p>
        </w:tc>
        <w:tc>
          <w:tcPr>
            <w:tcW w:w="122" w:type="dxa"/>
            <w:tcBorders/>
            <w:shd w:fill="auto" w:val="clear"/>
            <w:vAlign w:val="bottom"/>
          </w:tcPr>
          <w:p>
            <w:pPr>
              <w:pStyle w:val="TableContents"/>
              <w:spacing w:before="0" w:after="283"/>
              <w:rPr/>
            </w:pPr>
            <w:r>
              <w:rPr/>
              <w:t>  </w:t>
            </w:r>
          </w:p>
        </w:tc>
        <w:tc>
          <w:tcPr>
            <w:tcW w:w="3153" w:type="dxa"/>
            <w:tcBorders/>
            <w:shd w:fill="auto" w:val="clear"/>
            <w:vAlign w:val="bottom"/>
          </w:tcPr>
          <w:p>
            <w:pPr>
              <w:pStyle w:val="TableContents"/>
              <w:spacing w:before="0" w:after="283"/>
              <w:jc w:val="center"/>
              <w:rPr>
                <w:rFonts w:ascii="ARIAL" w:hAnsi="ARIAL"/>
              </w:rPr>
            </w:pPr>
            <w:r>
              <w:rPr>
                <w:rFonts w:ascii="ARIAL" w:hAnsi="ARIAL"/>
              </w:rPr>
              <w:t>137%</w:t>
            </w:r>
          </w:p>
        </w:tc>
        <w:tc>
          <w:tcPr>
            <w:tcW w:w="219" w:type="dxa"/>
            <w:tcBorders/>
            <w:shd w:fill="auto" w:val="clear"/>
            <w:vAlign w:val="bottom"/>
          </w:tcPr>
          <w:p>
            <w:pPr>
              <w:pStyle w:val="TableContents"/>
              <w:spacing w:before="0" w:after="283"/>
              <w:rPr/>
            </w:pPr>
            <w:r>
              <w:rPr/>
              <w:t>  </w:t>
            </w:r>
          </w:p>
        </w:tc>
        <w:tc>
          <w:tcPr>
            <w:tcW w:w="3059" w:type="dxa"/>
            <w:tcBorders/>
            <w:shd w:fill="auto" w:val="clear"/>
            <w:vAlign w:val="bottom"/>
          </w:tcPr>
          <w:p>
            <w:pPr>
              <w:pStyle w:val="TableContents"/>
              <w:spacing w:before="0" w:after="283"/>
              <w:jc w:val="center"/>
              <w:rPr>
                <w:rFonts w:ascii="ARIAL" w:hAnsi="ARIAL"/>
              </w:rPr>
            </w:pPr>
            <w:r>
              <w:rPr>
                <w:rFonts w:ascii="ARIAL" w:hAnsi="ARIAL"/>
              </w:rPr>
              <w:t>102%</w:t>
            </w:r>
          </w:p>
        </w:tc>
      </w:tr>
      <w:tr>
        <w:trPr/>
        <w:tc>
          <w:tcPr>
            <w:tcW w:w="3652" w:type="dxa"/>
            <w:tcBorders>
              <w:top w:val="single" w:sz="2" w:space="0" w:color="999999"/>
            </w:tcBorders>
            <w:shd w:fill="auto" w:val="clear"/>
            <w:tcMar>
              <w:top w:w="28" w:type="dxa"/>
            </w:tcMar>
          </w:tcPr>
          <w:p>
            <w:pPr>
              <w:pStyle w:val="TableContents"/>
              <w:spacing w:before="0" w:after="0"/>
              <w:rPr/>
            </w:pPr>
            <w:r>
              <w:rPr/>
              <w:t>  </w:t>
            </w:r>
            <w:r>
              <w:rPr>
                <w:rFonts w:ascii="arial" w:hAnsi="arial"/>
                <w:sz w:val="18"/>
              </w:rPr>
              <w:t>2019 - 2021*</w:t>
            </w:r>
          </w:p>
        </w:tc>
        <w:tc>
          <w:tcPr>
            <w:tcW w:w="122" w:type="dxa"/>
            <w:tcBorders>
              <w:top w:val="single" w:sz="2" w:space="0" w:color="999999"/>
            </w:tcBorders>
            <w:shd w:fill="auto" w:val="clear"/>
            <w:tcMar>
              <w:top w:w="28" w:type="dxa"/>
            </w:tcMar>
            <w:vAlign w:val="bottom"/>
          </w:tcPr>
          <w:p>
            <w:pPr>
              <w:pStyle w:val="TableContents"/>
              <w:spacing w:before="0" w:after="283"/>
              <w:rPr/>
            </w:pPr>
            <w:r>
              <w:rPr/>
              <w:t>  </w:t>
            </w:r>
          </w:p>
        </w:tc>
        <w:tc>
          <w:tcPr>
            <w:tcW w:w="3153"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170%</w:t>
            </w:r>
          </w:p>
        </w:tc>
        <w:tc>
          <w:tcPr>
            <w:tcW w:w="219" w:type="dxa"/>
            <w:tcBorders>
              <w:top w:val="single" w:sz="2" w:space="0" w:color="999999"/>
            </w:tcBorders>
            <w:shd w:fill="auto" w:val="clear"/>
            <w:tcMar>
              <w:top w:w="28" w:type="dxa"/>
            </w:tcMar>
            <w:vAlign w:val="bottom"/>
          </w:tcPr>
          <w:p>
            <w:pPr>
              <w:pStyle w:val="TableContents"/>
              <w:spacing w:before="0" w:after="283"/>
              <w:rPr/>
            </w:pPr>
            <w:r>
              <w:rPr/>
              <w:t>  </w:t>
            </w:r>
          </w:p>
        </w:tc>
        <w:tc>
          <w:tcPr>
            <w:tcW w:w="3059"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60%</w:t>
            </w:r>
          </w:p>
        </w:tc>
      </w:tr>
      <w:tr>
        <w:trPr/>
        <w:tc>
          <w:tcPr>
            <w:tcW w:w="3652" w:type="dxa"/>
            <w:tcBorders>
              <w:top w:val="single" w:sz="2" w:space="0" w:color="999999"/>
              <w:bottom w:val="single" w:sz="2" w:space="0" w:color="00548B"/>
            </w:tcBorders>
            <w:shd w:fill="auto" w:val="clear"/>
            <w:tcMar>
              <w:top w:w="28" w:type="dxa"/>
              <w:bottom w:w="28" w:type="dxa"/>
            </w:tcMar>
          </w:tcPr>
          <w:p>
            <w:pPr>
              <w:pStyle w:val="TableContents"/>
              <w:spacing w:before="0" w:after="0"/>
              <w:rPr/>
            </w:pPr>
            <w:r>
              <w:rPr/>
              <w:t>  </w:t>
            </w:r>
            <w:r>
              <w:rPr>
                <w:rFonts w:ascii="arial" w:hAnsi="arial"/>
                <w:sz w:val="18"/>
              </w:rPr>
              <w:t>2020 - 2022*</w:t>
            </w:r>
          </w:p>
        </w:tc>
        <w:tc>
          <w:tcPr>
            <w:tcW w:w="122"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rPr/>
            </w:pPr>
            <w:r>
              <w:rPr/>
              <w:t>  </w:t>
            </w:r>
          </w:p>
        </w:tc>
        <w:tc>
          <w:tcPr>
            <w:tcW w:w="3153"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jc w:val="center"/>
              <w:rPr>
                <w:rFonts w:ascii="ARIAL" w:hAnsi="ARIAL"/>
              </w:rPr>
            </w:pPr>
            <w:r>
              <w:rPr>
                <w:rFonts w:ascii="ARIAL" w:hAnsi="ARIAL"/>
              </w:rPr>
              <w:t>N/A</w:t>
            </w:r>
          </w:p>
        </w:tc>
        <w:tc>
          <w:tcPr>
            <w:tcW w:w="219"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rPr/>
            </w:pPr>
            <w:r>
              <w:rPr/>
              <w:t>  </w:t>
            </w:r>
          </w:p>
        </w:tc>
        <w:tc>
          <w:tcPr>
            <w:tcW w:w="3059"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jc w:val="center"/>
              <w:rPr>
                <w:rFonts w:ascii="ARIAL" w:hAnsi="ARIAL"/>
              </w:rPr>
            </w:pPr>
            <w:r>
              <w:rPr>
                <w:rFonts w:ascii="ARIAL" w:hAnsi="ARIAL"/>
              </w:rPr>
              <w:t>0%</w:t>
            </w:r>
          </w:p>
        </w:tc>
      </w:tr>
    </w:tbl>
    <w:tbl>
      <w:tblPr>
        <w:tblW w:w="5000" w:type="pct"/>
        <w:jc w:val="left"/>
        <w:tblInd w:w="0" w:type="dxa"/>
        <w:tblCellMar>
          <w:top w:w="0" w:type="dxa"/>
          <w:left w:w="0" w:type="dxa"/>
          <w:bottom w:w="0" w:type="dxa"/>
          <w:right w:w="0" w:type="dxa"/>
        </w:tblCellMar>
      </w:tblPr>
      <w:tblGrid>
        <w:gridCol w:w="202"/>
        <w:gridCol w:w="10003"/>
      </w:tblGrid>
      <w:tr>
        <w:trPr/>
        <w:tc>
          <w:tcPr>
            <w:tcW w:w="202" w:type="dxa"/>
            <w:tcBorders/>
            <w:shd w:fill="auto" w:val="clear"/>
          </w:tcPr>
          <w:p>
            <w:pPr>
              <w:pStyle w:val="TableContents"/>
              <w:spacing w:before="0" w:after="283"/>
              <w:jc w:val="left"/>
              <w:rPr/>
            </w:pPr>
            <w:r>
              <w:rPr/>
              <w:t>*</w:t>
            </w:r>
          </w:p>
        </w:tc>
        <w:tc>
          <w:tcPr>
            <w:tcW w:w="10003" w:type="dxa"/>
            <w:tcBorders/>
            <w:shd w:fill="auto" w:val="clear"/>
          </w:tcPr>
          <w:p>
            <w:pPr>
              <w:pStyle w:val="TableContents"/>
              <w:spacing w:before="0" w:after="0"/>
              <w:jc w:val="both"/>
              <w:rPr>
                <w:rFonts w:ascii="arial" w:hAnsi="arial"/>
                <w:sz w:val="18"/>
              </w:rPr>
            </w:pPr>
            <w:r>
              <w:rPr>
                <w:rFonts w:ascii="arial" w:hAnsi="arial"/>
                <w:sz w:val="18"/>
              </w:rPr>
              <w:t xml:space="preserve">2018-2020 is actual payout, 2019-2021 and 2020-2022 is an estimated payout. </w:t>
            </w:r>
          </w:p>
        </w:tc>
      </w:tr>
    </w:tbl>
    <w:p>
      <w:pPr>
        <w:pStyle w:val="TextBody"/>
        <w:spacing w:before="200" w:after="0"/>
        <w:jc w:val="both"/>
        <w:rPr>
          <w:rFonts w:ascii="arial" w:hAnsi="arial"/>
          <w:b/>
          <w:i/>
          <w:color w:val="00548B"/>
          <w:sz w:val="18"/>
        </w:rPr>
      </w:pPr>
      <w:r>
        <w:rPr>
          <w:rFonts w:ascii="arial" w:hAnsi="arial"/>
          <w:b/>
          <w:i/>
          <w:color w:val="00548B"/>
          <w:sz w:val="18"/>
        </w:rPr>
        <w:t xml:space="preserve">2020 Long-Term Incentive </w:t>
      </w:r>
    </w:p>
    <w:p>
      <w:pPr>
        <w:pStyle w:val="TextBody"/>
        <w:spacing w:before="0" w:after="0"/>
        <w:jc w:val="both"/>
        <w:rPr>
          <w:rFonts w:ascii="arial" w:hAnsi="arial"/>
          <w:sz w:val="18"/>
        </w:rPr>
      </w:pPr>
      <w:r>
        <w:rPr>
          <w:rFonts w:ascii="arial" w:hAnsi="arial"/>
          <w:sz w:val="18"/>
        </w:rPr>
        <w:t xml:space="preserve">On March 1, 2020, the Compensation Committee granted our NEOs long-term incentive awards that were structured as 70% performance units and 30% restricted shares.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6854"/>
        <w:gridCol w:w="321"/>
        <w:gridCol w:w="75"/>
        <w:gridCol w:w="953"/>
        <w:gridCol w:w="288"/>
        <w:gridCol w:w="406"/>
        <w:gridCol w:w="63"/>
        <w:gridCol w:w="868"/>
        <w:gridCol w:w="377"/>
      </w:tblGrid>
      <w:tr>
        <w:trPr/>
        <w:tc>
          <w:tcPr>
            <w:tcW w:w="6854" w:type="dxa"/>
            <w:tcBorders/>
            <w:shd w:fill="auto" w:val="clear"/>
            <w:vAlign w:val="center"/>
          </w:tcPr>
          <w:p>
            <w:pPr>
              <w:pStyle w:val="TableContents"/>
              <w:spacing w:before="0" w:after="283"/>
              <w:rPr>
                <w:sz w:val="4"/>
                <w:szCs w:val="4"/>
              </w:rPr>
            </w:pPr>
            <w:r>
              <w:rPr>
                <w:sz w:val="4"/>
                <w:szCs w:val="4"/>
              </w:rPr>
            </w:r>
          </w:p>
        </w:tc>
        <w:tc>
          <w:tcPr>
            <w:tcW w:w="321" w:type="dxa"/>
            <w:tcBorders/>
            <w:shd w:fill="auto" w:val="clear"/>
            <w:vAlign w:val="bottom"/>
          </w:tcPr>
          <w:p>
            <w:pPr>
              <w:pStyle w:val="TableContents"/>
              <w:spacing w:before="0" w:after="283"/>
              <w:rPr>
                <w:sz w:val="4"/>
                <w:szCs w:val="4"/>
              </w:rPr>
            </w:pPr>
            <w:r>
              <w:rPr>
                <w:sz w:val="4"/>
                <w:szCs w:val="4"/>
              </w:rPr>
            </w:r>
          </w:p>
        </w:tc>
        <w:tc>
          <w:tcPr>
            <w:tcW w:w="75" w:type="dxa"/>
            <w:tcBorders/>
            <w:shd w:fill="auto" w:val="clear"/>
            <w:vAlign w:val="center"/>
          </w:tcPr>
          <w:p>
            <w:pPr>
              <w:pStyle w:val="TableContents"/>
              <w:spacing w:before="0" w:after="283"/>
              <w:rPr>
                <w:sz w:val="4"/>
                <w:szCs w:val="4"/>
              </w:rPr>
            </w:pPr>
            <w:r>
              <w:rPr>
                <w:sz w:val="4"/>
                <w:szCs w:val="4"/>
              </w:rPr>
            </w:r>
          </w:p>
        </w:tc>
        <w:tc>
          <w:tcPr>
            <w:tcW w:w="953" w:type="dxa"/>
            <w:tcBorders/>
            <w:shd w:fill="auto" w:val="clear"/>
            <w:vAlign w:val="center"/>
          </w:tcPr>
          <w:p>
            <w:pPr>
              <w:pStyle w:val="TableContents"/>
              <w:spacing w:before="0" w:after="283"/>
              <w:rPr>
                <w:sz w:val="4"/>
                <w:szCs w:val="4"/>
              </w:rPr>
            </w:pPr>
            <w:r>
              <w:rPr>
                <w:sz w:val="4"/>
                <w:szCs w:val="4"/>
              </w:rPr>
            </w:r>
          </w:p>
        </w:tc>
        <w:tc>
          <w:tcPr>
            <w:tcW w:w="288" w:type="dxa"/>
            <w:tcBorders/>
            <w:shd w:fill="auto" w:val="clear"/>
            <w:vAlign w:val="bottom"/>
          </w:tcPr>
          <w:p>
            <w:pPr>
              <w:pStyle w:val="TableContents"/>
              <w:spacing w:before="0" w:after="283"/>
              <w:rPr>
                <w:sz w:val="4"/>
                <w:szCs w:val="4"/>
              </w:rPr>
            </w:pPr>
            <w:r>
              <w:rPr>
                <w:sz w:val="4"/>
                <w:szCs w:val="4"/>
              </w:rPr>
            </w:r>
          </w:p>
        </w:tc>
        <w:tc>
          <w:tcPr>
            <w:tcW w:w="406" w:type="dxa"/>
            <w:tcBorders/>
            <w:shd w:fill="auto" w:val="clear"/>
            <w:vAlign w:val="bottom"/>
          </w:tcPr>
          <w:p>
            <w:pPr>
              <w:pStyle w:val="TableContents"/>
              <w:spacing w:before="0" w:after="283"/>
              <w:rPr>
                <w:sz w:val="4"/>
                <w:szCs w:val="4"/>
              </w:rPr>
            </w:pPr>
            <w:r>
              <w:rPr>
                <w:sz w:val="4"/>
                <w:szCs w:val="4"/>
              </w:rPr>
            </w:r>
          </w:p>
        </w:tc>
        <w:tc>
          <w:tcPr>
            <w:tcW w:w="63" w:type="dxa"/>
            <w:tcBorders/>
            <w:shd w:fill="auto" w:val="clear"/>
            <w:vAlign w:val="center"/>
          </w:tcPr>
          <w:p>
            <w:pPr>
              <w:pStyle w:val="TableContents"/>
              <w:spacing w:before="0" w:after="283"/>
              <w:rPr>
                <w:sz w:val="4"/>
                <w:szCs w:val="4"/>
              </w:rPr>
            </w:pPr>
            <w:r>
              <w:rPr>
                <w:sz w:val="4"/>
                <w:szCs w:val="4"/>
              </w:rPr>
            </w:r>
          </w:p>
        </w:tc>
        <w:tc>
          <w:tcPr>
            <w:tcW w:w="868" w:type="dxa"/>
            <w:tcBorders/>
            <w:shd w:fill="auto" w:val="clear"/>
            <w:vAlign w:val="center"/>
          </w:tcPr>
          <w:p>
            <w:pPr>
              <w:pStyle w:val="TableContents"/>
              <w:spacing w:before="0" w:after="283"/>
              <w:rPr>
                <w:sz w:val="4"/>
                <w:szCs w:val="4"/>
              </w:rPr>
            </w:pPr>
            <w:r>
              <w:rPr>
                <w:sz w:val="4"/>
                <w:szCs w:val="4"/>
              </w:rPr>
            </w:r>
          </w:p>
        </w:tc>
        <w:tc>
          <w:tcPr>
            <w:tcW w:w="377" w:type="dxa"/>
            <w:tcBorders/>
            <w:shd w:fill="auto" w:val="clear"/>
            <w:vAlign w:val="bottom"/>
          </w:tcPr>
          <w:p>
            <w:pPr>
              <w:pStyle w:val="TableContents"/>
              <w:spacing w:before="0" w:after="283"/>
              <w:rPr>
                <w:sz w:val="4"/>
                <w:szCs w:val="4"/>
              </w:rPr>
            </w:pPr>
            <w:r>
              <w:rPr>
                <w:sz w:val="4"/>
                <w:szCs w:val="4"/>
              </w:rPr>
            </w:r>
          </w:p>
        </w:tc>
      </w:tr>
      <w:tr>
        <w:trPr/>
        <w:tc>
          <w:tcPr>
            <w:tcW w:w="6854" w:type="dxa"/>
            <w:tcBorders/>
            <w:shd w:fill="00548B" w:val="clear"/>
            <w:vAlign w:val="bottom"/>
          </w:tcPr>
          <w:p>
            <w:pPr>
              <w:pStyle w:val="TableContents"/>
              <w:spacing w:before="0" w:after="283"/>
              <w:rPr>
                <w:b/>
                <w:color w:val="D8D8D8"/>
              </w:rPr>
            </w:pPr>
            <w:r>
              <w:rPr>
                <w:b/>
                <w:color w:val="D8D8D8"/>
              </w:rPr>
              <w:t>Executive</w:t>
            </w:r>
          </w:p>
        </w:tc>
        <w:tc>
          <w:tcPr>
            <w:tcW w:w="321" w:type="dxa"/>
            <w:tcBorders/>
            <w:shd w:fill="00548B" w:val="clear"/>
            <w:vAlign w:val="bottom"/>
          </w:tcPr>
          <w:p>
            <w:pPr>
              <w:pStyle w:val="TableContents"/>
              <w:spacing w:before="0" w:after="283"/>
              <w:rPr/>
            </w:pPr>
            <w:r>
              <w:rPr/>
              <w:t>  </w:t>
            </w:r>
          </w:p>
        </w:tc>
        <w:tc>
          <w:tcPr>
            <w:tcW w:w="1028" w:type="dxa"/>
            <w:gridSpan w:val="2"/>
            <w:tcBorders/>
            <w:shd w:fill="00548B" w:val="clear"/>
            <w:vAlign w:val="bottom"/>
          </w:tcPr>
          <w:p>
            <w:pPr>
              <w:pStyle w:val="TableContents"/>
              <w:spacing w:before="0" w:after="0"/>
              <w:jc w:val="center"/>
              <w:rPr>
                <w:rFonts w:ascii="arial" w:hAnsi="arial"/>
                <w:b/>
                <w:color w:val="D8D8D8"/>
                <w:sz w:val="16"/>
              </w:rPr>
            </w:pPr>
            <w:r>
              <w:rPr>
                <w:rFonts w:ascii="arial" w:hAnsi="arial"/>
                <w:b/>
                <w:color w:val="D8D8D8"/>
                <w:sz w:val="16"/>
              </w:rPr>
              <w:t>Performance</w:t>
            </w:r>
          </w:p>
          <w:p>
            <w:pPr>
              <w:pStyle w:val="TableContents"/>
              <w:spacing w:before="0" w:after="0"/>
              <w:jc w:val="center"/>
              <w:rPr>
                <w:rFonts w:ascii="arial" w:hAnsi="arial"/>
                <w:b/>
                <w:color w:val="D8D8D8"/>
                <w:sz w:val="16"/>
              </w:rPr>
            </w:pPr>
            <w:r>
              <w:rPr>
                <w:rFonts w:ascii="arial" w:hAnsi="arial"/>
                <w:b/>
                <w:color w:val="D8D8D8"/>
                <w:sz w:val="16"/>
              </w:rPr>
              <w:t>Units</w:t>
            </w:r>
          </w:p>
          <w:p>
            <w:pPr>
              <w:pStyle w:val="TableContents"/>
              <w:spacing w:before="0" w:after="20"/>
              <w:jc w:val="center"/>
              <w:rPr>
                <w:rFonts w:ascii="arial" w:hAnsi="arial"/>
                <w:b/>
                <w:color w:val="D8D8D8"/>
                <w:sz w:val="16"/>
              </w:rPr>
            </w:pPr>
            <w:r>
              <w:rPr>
                <w:rFonts w:ascii="arial" w:hAnsi="arial"/>
                <w:b/>
                <w:color w:val="D8D8D8"/>
                <w:sz w:val="16"/>
              </w:rPr>
              <w:t>Granted (1)</w:t>
            </w:r>
          </w:p>
        </w:tc>
        <w:tc>
          <w:tcPr>
            <w:tcW w:w="288" w:type="dxa"/>
            <w:tcBorders/>
            <w:shd w:fill="00548B" w:val="clear"/>
            <w:vAlign w:val="bottom"/>
          </w:tcPr>
          <w:p>
            <w:pPr>
              <w:pStyle w:val="TableContents"/>
              <w:spacing w:before="0" w:after="283"/>
              <w:rPr/>
            </w:pPr>
            <w:r>
              <w:rPr/>
              <w:t> </w:t>
            </w:r>
          </w:p>
        </w:tc>
        <w:tc>
          <w:tcPr>
            <w:tcW w:w="406" w:type="dxa"/>
            <w:tcBorders/>
            <w:shd w:fill="00548B" w:val="clear"/>
            <w:vAlign w:val="bottom"/>
          </w:tcPr>
          <w:p>
            <w:pPr>
              <w:pStyle w:val="TableContents"/>
              <w:spacing w:before="0" w:after="283"/>
              <w:rPr/>
            </w:pPr>
            <w:r>
              <w:rPr/>
              <w:t>  </w:t>
            </w:r>
          </w:p>
        </w:tc>
        <w:tc>
          <w:tcPr>
            <w:tcW w:w="931" w:type="dxa"/>
            <w:gridSpan w:val="2"/>
            <w:tcBorders/>
            <w:shd w:fill="00548B" w:val="clear"/>
            <w:vAlign w:val="bottom"/>
          </w:tcPr>
          <w:p>
            <w:pPr>
              <w:pStyle w:val="TableContents"/>
              <w:spacing w:before="0" w:after="0"/>
              <w:jc w:val="center"/>
              <w:rPr>
                <w:rFonts w:ascii="arial" w:hAnsi="arial"/>
                <w:b/>
                <w:color w:val="D8D8D8"/>
                <w:sz w:val="16"/>
              </w:rPr>
            </w:pPr>
            <w:r>
              <w:rPr>
                <w:rFonts w:ascii="arial" w:hAnsi="arial"/>
                <w:b/>
                <w:color w:val="D8D8D8"/>
                <w:sz w:val="16"/>
              </w:rPr>
              <w:t>Restricted</w:t>
            </w:r>
          </w:p>
          <w:p>
            <w:pPr>
              <w:pStyle w:val="TableContents"/>
              <w:spacing w:before="0" w:after="0"/>
              <w:jc w:val="center"/>
              <w:rPr>
                <w:rFonts w:ascii="arial" w:hAnsi="arial"/>
                <w:b/>
                <w:color w:val="D8D8D8"/>
                <w:sz w:val="16"/>
              </w:rPr>
            </w:pPr>
            <w:r>
              <w:rPr>
                <w:rFonts w:ascii="arial" w:hAnsi="arial"/>
                <w:b/>
                <w:color w:val="D8D8D8"/>
                <w:sz w:val="16"/>
              </w:rPr>
              <w:t>Shares</w:t>
            </w:r>
          </w:p>
          <w:p>
            <w:pPr>
              <w:pStyle w:val="TableContents"/>
              <w:spacing w:before="0" w:after="20"/>
              <w:jc w:val="center"/>
              <w:rPr>
                <w:rFonts w:ascii="arial" w:hAnsi="arial"/>
                <w:b/>
                <w:color w:val="D8D8D8"/>
                <w:sz w:val="16"/>
              </w:rPr>
            </w:pPr>
            <w:r>
              <w:rPr>
                <w:rFonts w:ascii="arial" w:hAnsi="arial"/>
                <w:b/>
                <w:color w:val="D8D8D8"/>
                <w:sz w:val="16"/>
              </w:rPr>
              <w:t>Granted (2)</w:t>
            </w:r>
          </w:p>
        </w:tc>
        <w:tc>
          <w:tcPr>
            <w:tcW w:w="377" w:type="dxa"/>
            <w:tcBorders/>
            <w:shd w:fill="00548B" w:val="clear"/>
            <w:vAlign w:val="bottom"/>
          </w:tcPr>
          <w:p>
            <w:pPr>
              <w:pStyle w:val="TableContents"/>
              <w:spacing w:before="0" w:after="283"/>
              <w:rPr/>
            </w:pPr>
            <w:r>
              <w:rPr/>
              <w:t> </w:t>
            </w:r>
          </w:p>
        </w:tc>
      </w:tr>
      <w:tr>
        <w:trPr/>
        <w:tc>
          <w:tcPr>
            <w:tcW w:w="6854"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James H. Roth</w:t>
            </w:r>
          </w:p>
        </w:tc>
        <w:tc>
          <w:tcPr>
            <w:tcW w:w="321" w:type="dxa"/>
            <w:tcBorders>
              <w:bottom w:val="single" w:sz="2" w:space="0" w:color="999999"/>
            </w:tcBorders>
            <w:shd w:fill="auto" w:val="clear"/>
            <w:tcMar>
              <w:bottom w:w="28" w:type="dxa"/>
            </w:tcMar>
            <w:vAlign w:val="bottom"/>
          </w:tcPr>
          <w:p>
            <w:pPr>
              <w:pStyle w:val="TableContents"/>
              <w:spacing w:before="0" w:after="283"/>
              <w:rPr/>
            </w:pPr>
            <w:r>
              <w:rPr/>
              <w:t>  </w:t>
            </w:r>
          </w:p>
        </w:tc>
        <w:tc>
          <w:tcPr>
            <w:tcW w:w="75" w:type="dxa"/>
            <w:tcBorders>
              <w:bottom w:val="single" w:sz="2" w:space="0" w:color="999999"/>
            </w:tcBorders>
            <w:shd w:fill="auto" w:val="clear"/>
            <w:tcMar>
              <w:bottom w:w="28" w:type="dxa"/>
            </w:tcMar>
            <w:vAlign w:val="bottom"/>
          </w:tcPr>
          <w:p>
            <w:pPr>
              <w:pStyle w:val="TableContents"/>
              <w:spacing w:before="0" w:after="283"/>
              <w:rPr/>
            </w:pPr>
            <w:r>
              <w:rPr/>
              <w:t> </w:t>
            </w:r>
          </w:p>
        </w:tc>
        <w:tc>
          <w:tcPr>
            <w:tcW w:w="95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25,215</w:t>
            </w:r>
          </w:p>
        </w:tc>
        <w:tc>
          <w:tcPr>
            <w:tcW w:w="288" w:type="dxa"/>
            <w:tcBorders>
              <w:bottom w:val="single" w:sz="2" w:space="0" w:color="999999"/>
            </w:tcBorders>
            <w:shd w:fill="auto" w:val="clear"/>
            <w:tcMar>
              <w:bottom w:w="28" w:type="dxa"/>
            </w:tcMar>
            <w:vAlign w:val="bottom"/>
          </w:tcPr>
          <w:p>
            <w:pPr>
              <w:pStyle w:val="TableContents"/>
              <w:spacing w:before="0" w:after="283"/>
              <w:rPr/>
            </w:pPr>
            <w:r>
              <w:rPr/>
              <w:t> </w:t>
            </w:r>
          </w:p>
        </w:tc>
        <w:tc>
          <w:tcPr>
            <w:tcW w:w="406" w:type="dxa"/>
            <w:tcBorders>
              <w:bottom w:val="single" w:sz="2" w:space="0" w:color="999999"/>
            </w:tcBorders>
            <w:shd w:fill="auto" w:val="clear"/>
            <w:tcMar>
              <w:bottom w:w="28" w:type="dxa"/>
            </w:tcMar>
            <w:vAlign w:val="bottom"/>
          </w:tcPr>
          <w:p>
            <w:pPr>
              <w:pStyle w:val="TableContents"/>
              <w:spacing w:before="0" w:after="283"/>
              <w:rPr/>
            </w:pPr>
            <w:r>
              <w:rPr/>
              <w:t>  </w:t>
            </w:r>
          </w:p>
        </w:tc>
        <w:tc>
          <w:tcPr>
            <w:tcW w:w="63" w:type="dxa"/>
            <w:tcBorders>
              <w:bottom w:val="single" w:sz="2" w:space="0" w:color="999999"/>
            </w:tcBorders>
            <w:shd w:fill="auto" w:val="clear"/>
            <w:tcMar>
              <w:bottom w:w="28" w:type="dxa"/>
            </w:tcMar>
            <w:vAlign w:val="bottom"/>
          </w:tcPr>
          <w:p>
            <w:pPr>
              <w:pStyle w:val="TableContents"/>
              <w:spacing w:before="0" w:after="283"/>
              <w:rPr/>
            </w:pPr>
            <w:r>
              <w:rPr/>
              <w:t> </w:t>
            </w:r>
          </w:p>
        </w:tc>
        <w:tc>
          <w:tcPr>
            <w:tcW w:w="868"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10,806</w:t>
            </w:r>
          </w:p>
        </w:tc>
        <w:tc>
          <w:tcPr>
            <w:tcW w:w="37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854" w:type="dxa"/>
            <w:tcBorders/>
            <w:shd w:fill="auto" w:val="clear"/>
          </w:tcPr>
          <w:p>
            <w:pPr>
              <w:pStyle w:val="TableContents"/>
              <w:spacing w:before="0" w:after="0"/>
              <w:rPr>
                <w:rFonts w:ascii="arial" w:hAnsi="arial"/>
                <w:sz w:val="18"/>
              </w:rPr>
            </w:pPr>
            <w:r>
              <w:rPr>
                <w:rFonts w:ascii="arial" w:hAnsi="arial"/>
                <w:sz w:val="18"/>
              </w:rPr>
              <w:t>C. Mark Hussey</w:t>
            </w:r>
          </w:p>
        </w:tc>
        <w:tc>
          <w:tcPr>
            <w:tcW w:w="321" w:type="dxa"/>
            <w:tcBorders/>
            <w:shd w:fill="auto" w:val="clear"/>
            <w:vAlign w:val="bottom"/>
          </w:tcPr>
          <w:p>
            <w:pPr>
              <w:pStyle w:val="TableContents"/>
              <w:spacing w:before="0" w:after="283"/>
              <w:rPr/>
            </w:pPr>
            <w:r>
              <w:rPr/>
              <w:t>  </w:t>
            </w:r>
          </w:p>
        </w:tc>
        <w:tc>
          <w:tcPr>
            <w:tcW w:w="75" w:type="dxa"/>
            <w:tcBorders/>
            <w:shd w:fill="auto" w:val="clear"/>
            <w:vAlign w:val="bottom"/>
          </w:tcPr>
          <w:p>
            <w:pPr>
              <w:pStyle w:val="TableContents"/>
              <w:spacing w:before="0" w:after="283"/>
              <w:rPr/>
            </w:pPr>
            <w:r>
              <w:rPr/>
              <w:t> </w:t>
            </w:r>
          </w:p>
        </w:tc>
        <w:tc>
          <w:tcPr>
            <w:tcW w:w="953" w:type="dxa"/>
            <w:tcBorders/>
            <w:shd w:fill="auto" w:val="clear"/>
            <w:vAlign w:val="bottom"/>
          </w:tcPr>
          <w:p>
            <w:pPr>
              <w:pStyle w:val="TableContents"/>
              <w:spacing w:before="0" w:after="283"/>
              <w:jc w:val="right"/>
              <w:rPr>
                <w:rFonts w:ascii="ARIAL" w:hAnsi="ARIAL"/>
              </w:rPr>
            </w:pPr>
            <w:r>
              <w:rPr>
                <w:rFonts w:ascii="ARIAL" w:hAnsi="ARIAL"/>
              </w:rPr>
              <w:t>16,515</w:t>
            </w:r>
          </w:p>
        </w:tc>
        <w:tc>
          <w:tcPr>
            <w:tcW w:w="288" w:type="dxa"/>
            <w:tcBorders/>
            <w:shd w:fill="auto" w:val="clear"/>
            <w:vAlign w:val="bottom"/>
          </w:tcPr>
          <w:p>
            <w:pPr>
              <w:pStyle w:val="TableContents"/>
              <w:spacing w:before="0" w:after="283"/>
              <w:rPr/>
            </w:pPr>
            <w:r>
              <w:rPr/>
              <w:t> </w:t>
            </w:r>
          </w:p>
        </w:tc>
        <w:tc>
          <w:tcPr>
            <w:tcW w:w="406" w:type="dxa"/>
            <w:tcBorders/>
            <w:shd w:fill="auto" w:val="clear"/>
            <w:vAlign w:val="bottom"/>
          </w:tcPr>
          <w:p>
            <w:pPr>
              <w:pStyle w:val="TableContents"/>
              <w:spacing w:before="0" w:after="283"/>
              <w:rPr/>
            </w:pPr>
            <w:r>
              <w:rPr/>
              <w:t>  </w:t>
            </w:r>
          </w:p>
        </w:tc>
        <w:tc>
          <w:tcPr>
            <w:tcW w:w="63" w:type="dxa"/>
            <w:tcBorders/>
            <w:shd w:fill="auto" w:val="clear"/>
            <w:vAlign w:val="bottom"/>
          </w:tcPr>
          <w:p>
            <w:pPr>
              <w:pStyle w:val="TableContents"/>
              <w:spacing w:before="0" w:after="283"/>
              <w:rPr/>
            </w:pPr>
            <w:r>
              <w:rPr/>
              <w:t> </w:t>
            </w:r>
          </w:p>
        </w:tc>
        <w:tc>
          <w:tcPr>
            <w:tcW w:w="868" w:type="dxa"/>
            <w:tcBorders/>
            <w:shd w:fill="auto" w:val="clear"/>
            <w:vAlign w:val="bottom"/>
          </w:tcPr>
          <w:p>
            <w:pPr>
              <w:pStyle w:val="TableContents"/>
              <w:spacing w:before="0" w:after="283"/>
              <w:jc w:val="right"/>
              <w:rPr>
                <w:rFonts w:ascii="ARIAL" w:hAnsi="ARIAL"/>
              </w:rPr>
            </w:pPr>
            <w:r>
              <w:rPr>
                <w:rFonts w:ascii="ARIAL" w:hAnsi="ARIAL"/>
              </w:rPr>
              <w:t>7,078</w:t>
            </w:r>
          </w:p>
        </w:tc>
        <w:tc>
          <w:tcPr>
            <w:tcW w:w="377" w:type="dxa"/>
            <w:tcBorders/>
            <w:shd w:fill="auto" w:val="clear"/>
            <w:vAlign w:val="bottom"/>
          </w:tcPr>
          <w:p>
            <w:pPr>
              <w:pStyle w:val="TableContents"/>
              <w:spacing w:before="0" w:after="283"/>
              <w:rPr/>
            </w:pPr>
            <w:r>
              <w:rPr/>
              <w:t> </w:t>
            </w:r>
          </w:p>
        </w:tc>
      </w:tr>
      <w:tr>
        <w:trPr/>
        <w:tc>
          <w:tcPr>
            <w:tcW w:w="6854" w:type="dxa"/>
            <w:tcBorders>
              <w:top w:val="single" w:sz="2" w:space="0" w:color="999999"/>
            </w:tcBorders>
            <w:shd w:fill="auto" w:val="clear"/>
            <w:tcMar>
              <w:top w:w="28" w:type="dxa"/>
            </w:tcMar>
          </w:tcPr>
          <w:p>
            <w:pPr>
              <w:pStyle w:val="TableContents"/>
              <w:spacing w:before="0" w:after="0"/>
              <w:rPr>
                <w:rFonts w:ascii="arial" w:hAnsi="arial"/>
                <w:sz w:val="18"/>
              </w:rPr>
            </w:pPr>
            <w:r>
              <w:rPr>
                <w:rFonts w:ascii="arial" w:hAnsi="arial"/>
                <w:sz w:val="18"/>
              </w:rPr>
              <w:t>John D. Kelly</w:t>
            </w:r>
          </w:p>
        </w:tc>
        <w:tc>
          <w:tcPr>
            <w:tcW w:w="321" w:type="dxa"/>
            <w:tcBorders>
              <w:top w:val="single" w:sz="2" w:space="0" w:color="999999"/>
            </w:tcBorders>
            <w:shd w:fill="auto" w:val="clear"/>
            <w:tcMar>
              <w:top w:w="28" w:type="dxa"/>
            </w:tcMar>
            <w:vAlign w:val="bottom"/>
          </w:tcPr>
          <w:p>
            <w:pPr>
              <w:pStyle w:val="TableContents"/>
              <w:spacing w:before="0" w:after="283"/>
              <w:rPr/>
            </w:pPr>
            <w:r>
              <w:rPr/>
              <w:t>  </w:t>
            </w:r>
          </w:p>
        </w:tc>
        <w:tc>
          <w:tcPr>
            <w:tcW w:w="75" w:type="dxa"/>
            <w:tcBorders>
              <w:top w:val="single" w:sz="2" w:space="0" w:color="999999"/>
            </w:tcBorders>
            <w:shd w:fill="auto" w:val="clear"/>
            <w:tcMar>
              <w:top w:w="28" w:type="dxa"/>
            </w:tcMar>
            <w:vAlign w:val="bottom"/>
          </w:tcPr>
          <w:p>
            <w:pPr>
              <w:pStyle w:val="TableContents"/>
              <w:spacing w:before="0" w:after="283"/>
              <w:rPr/>
            </w:pPr>
            <w:r>
              <w:rPr/>
              <w:t> </w:t>
            </w:r>
          </w:p>
        </w:tc>
        <w:tc>
          <w:tcPr>
            <w:tcW w:w="953"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9,290</w:t>
            </w:r>
          </w:p>
        </w:tc>
        <w:tc>
          <w:tcPr>
            <w:tcW w:w="288" w:type="dxa"/>
            <w:tcBorders>
              <w:top w:val="single" w:sz="2" w:space="0" w:color="999999"/>
            </w:tcBorders>
            <w:shd w:fill="auto" w:val="clear"/>
            <w:tcMar>
              <w:top w:w="28" w:type="dxa"/>
            </w:tcMar>
            <w:vAlign w:val="bottom"/>
          </w:tcPr>
          <w:p>
            <w:pPr>
              <w:pStyle w:val="TableContents"/>
              <w:spacing w:before="0" w:after="283"/>
              <w:rPr/>
            </w:pPr>
            <w:r>
              <w:rPr/>
              <w:t> </w:t>
            </w:r>
          </w:p>
        </w:tc>
        <w:tc>
          <w:tcPr>
            <w:tcW w:w="406" w:type="dxa"/>
            <w:tcBorders>
              <w:top w:val="single" w:sz="2" w:space="0" w:color="999999"/>
            </w:tcBorders>
            <w:shd w:fill="auto" w:val="clear"/>
            <w:tcMar>
              <w:top w:w="28" w:type="dxa"/>
            </w:tcMar>
            <w:vAlign w:val="bottom"/>
          </w:tcPr>
          <w:p>
            <w:pPr>
              <w:pStyle w:val="TableContents"/>
              <w:spacing w:before="0" w:after="283"/>
              <w:rPr/>
            </w:pPr>
            <w:r>
              <w:rPr/>
              <w:t>  </w:t>
            </w:r>
          </w:p>
        </w:tc>
        <w:tc>
          <w:tcPr>
            <w:tcW w:w="63" w:type="dxa"/>
            <w:tcBorders>
              <w:top w:val="single" w:sz="2" w:space="0" w:color="999999"/>
            </w:tcBorders>
            <w:shd w:fill="auto" w:val="clear"/>
            <w:tcMar>
              <w:top w:w="28" w:type="dxa"/>
            </w:tcMar>
            <w:vAlign w:val="bottom"/>
          </w:tcPr>
          <w:p>
            <w:pPr>
              <w:pStyle w:val="TableContents"/>
              <w:spacing w:before="0" w:after="283"/>
              <w:rPr/>
            </w:pPr>
            <w:r>
              <w:rPr/>
              <w:t> </w:t>
            </w:r>
          </w:p>
        </w:tc>
        <w:tc>
          <w:tcPr>
            <w:tcW w:w="868"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3,981</w:t>
            </w:r>
          </w:p>
        </w:tc>
        <w:tc>
          <w:tcPr>
            <w:tcW w:w="377" w:type="dxa"/>
            <w:tcBorders>
              <w:top w:val="single" w:sz="2" w:space="0" w:color="999999"/>
            </w:tcBorders>
            <w:shd w:fill="auto" w:val="clear"/>
            <w:tcMar>
              <w:top w:w="28" w:type="dxa"/>
            </w:tcMar>
            <w:vAlign w:val="bottom"/>
          </w:tcPr>
          <w:p>
            <w:pPr>
              <w:pStyle w:val="TableContents"/>
              <w:spacing w:before="0" w:after="283"/>
              <w:rPr/>
            </w:pPr>
            <w:r>
              <w:rPr/>
              <w:t> </w:t>
            </w:r>
          </w:p>
        </w:tc>
      </w:tr>
      <w:tr>
        <w:trPr/>
        <w:tc>
          <w:tcPr>
            <w:tcW w:w="6854" w:type="dxa"/>
            <w:tcBorders>
              <w:top w:val="single" w:sz="2" w:space="0" w:color="999999"/>
            </w:tcBorders>
            <w:shd w:fill="auto" w:val="clear"/>
            <w:tcMar>
              <w:top w:w="28" w:type="dxa"/>
            </w:tcMar>
          </w:tcPr>
          <w:p>
            <w:pPr>
              <w:pStyle w:val="TableContents"/>
              <w:spacing w:before="0" w:after="0"/>
              <w:rPr>
                <w:rFonts w:ascii="arial" w:hAnsi="arial"/>
                <w:sz w:val="18"/>
              </w:rPr>
            </w:pPr>
            <w:r>
              <w:rPr>
                <w:rFonts w:ascii="arial" w:hAnsi="arial"/>
                <w:sz w:val="18"/>
              </w:rPr>
              <w:t>Ernest W. Torain, Jr.</w:t>
            </w:r>
          </w:p>
        </w:tc>
        <w:tc>
          <w:tcPr>
            <w:tcW w:w="321" w:type="dxa"/>
            <w:tcBorders>
              <w:top w:val="single" w:sz="2" w:space="0" w:color="999999"/>
            </w:tcBorders>
            <w:shd w:fill="auto" w:val="clear"/>
            <w:tcMar>
              <w:top w:w="28" w:type="dxa"/>
            </w:tcMar>
            <w:vAlign w:val="bottom"/>
          </w:tcPr>
          <w:p>
            <w:pPr>
              <w:pStyle w:val="TableContents"/>
              <w:spacing w:before="0" w:after="283"/>
              <w:rPr/>
            </w:pPr>
            <w:r>
              <w:rPr/>
              <w:t>  </w:t>
            </w:r>
          </w:p>
        </w:tc>
        <w:tc>
          <w:tcPr>
            <w:tcW w:w="75" w:type="dxa"/>
            <w:tcBorders>
              <w:top w:val="single" w:sz="2" w:space="0" w:color="999999"/>
            </w:tcBorders>
            <w:shd w:fill="auto" w:val="clear"/>
            <w:tcMar>
              <w:top w:w="28" w:type="dxa"/>
            </w:tcMar>
            <w:vAlign w:val="bottom"/>
          </w:tcPr>
          <w:p>
            <w:pPr>
              <w:pStyle w:val="TableContents"/>
              <w:spacing w:before="0" w:after="283"/>
              <w:rPr/>
            </w:pPr>
            <w:r>
              <w:rPr/>
              <w:t> </w:t>
            </w:r>
          </w:p>
        </w:tc>
        <w:tc>
          <w:tcPr>
            <w:tcW w:w="953"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5,220</w:t>
            </w:r>
          </w:p>
        </w:tc>
        <w:tc>
          <w:tcPr>
            <w:tcW w:w="288" w:type="dxa"/>
            <w:tcBorders>
              <w:top w:val="single" w:sz="2" w:space="0" w:color="999999"/>
            </w:tcBorders>
            <w:shd w:fill="auto" w:val="clear"/>
            <w:tcMar>
              <w:top w:w="28" w:type="dxa"/>
            </w:tcMar>
            <w:vAlign w:val="bottom"/>
          </w:tcPr>
          <w:p>
            <w:pPr>
              <w:pStyle w:val="TableContents"/>
              <w:spacing w:before="0" w:after="283"/>
              <w:rPr/>
            </w:pPr>
            <w:r>
              <w:rPr/>
              <w:t> </w:t>
            </w:r>
          </w:p>
        </w:tc>
        <w:tc>
          <w:tcPr>
            <w:tcW w:w="406" w:type="dxa"/>
            <w:tcBorders>
              <w:top w:val="single" w:sz="2" w:space="0" w:color="999999"/>
            </w:tcBorders>
            <w:shd w:fill="auto" w:val="clear"/>
            <w:tcMar>
              <w:top w:w="28" w:type="dxa"/>
            </w:tcMar>
            <w:vAlign w:val="bottom"/>
          </w:tcPr>
          <w:p>
            <w:pPr>
              <w:pStyle w:val="TableContents"/>
              <w:spacing w:before="0" w:after="283"/>
              <w:rPr/>
            </w:pPr>
            <w:r>
              <w:rPr/>
              <w:t>  </w:t>
            </w:r>
          </w:p>
        </w:tc>
        <w:tc>
          <w:tcPr>
            <w:tcW w:w="63" w:type="dxa"/>
            <w:tcBorders>
              <w:top w:val="single" w:sz="2" w:space="0" w:color="999999"/>
            </w:tcBorders>
            <w:shd w:fill="auto" w:val="clear"/>
            <w:tcMar>
              <w:top w:w="28" w:type="dxa"/>
            </w:tcMar>
            <w:vAlign w:val="bottom"/>
          </w:tcPr>
          <w:p>
            <w:pPr>
              <w:pStyle w:val="TableContents"/>
              <w:spacing w:before="0" w:after="283"/>
              <w:rPr/>
            </w:pPr>
            <w:r>
              <w:rPr/>
              <w:t> </w:t>
            </w:r>
          </w:p>
        </w:tc>
        <w:tc>
          <w:tcPr>
            <w:tcW w:w="868"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2,237</w:t>
            </w:r>
          </w:p>
        </w:tc>
        <w:tc>
          <w:tcPr>
            <w:tcW w:w="377" w:type="dxa"/>
            <w:tcBorders>
              <w:top w:val="single" w:sz="2" w:space="0" w:color="999999"/>
            </w:tcBorders>
            <w:shd w:fill="auto" w:val="clear"/>
            <w:tcMar>
              <w:top w:w="28" w:type="dxa"/>
            </w:tcMar>
            <w:vAlign w:val="bottom"/>
          </w:tcPr>
          <w:p>
            <w:pPr>
              <w:pStyle w:val="TableContents"/>
              <w:spacing w:before="0" w:after="283"/>
              <w:rPr/>
            </w:pPr>
            <w:r>
              <w:rPr/>
              <w:t> </w:t>
            </w:r>
          </w:p>
        </w:tc>
      </w:tr>
      <w:tr>
        <w:trPr/>
        <w:tc>
          <w:tcPr>
            <w:tcW w:w="6854" w:type="dxa"/>
            <w:tcBorders>
              <w:top w:val="single" w:sz="2" w:space="0" w:color="999999"/>
              <w:bottom w:val="single" w:sz="2" w:space="0" w:color="00548B"/>
            </w:tcBorders>
            <w:shd w:fill="auto" w:val="clear"/>
            <w:tcMar>
              <w:top w:w="28" w:type="dxa"/>
              <w:bottom w:w="28" w:type="dxa"/>
            </w:tcMar>
          </w:tcPr>
          <w:p>
            <w:pPr>
              <w:pStyle w:val="TableContents"/>
              <w:spacing w:before="0" w:after="0"/>
              <w:rPr>
                <w:rFonts w:ascii="arial" w:hAnsi="arial"/>
                <w:sz w:val="18"/>
              </w:rPr>
            </w:pPr>
            <w:r>
              <w:rPr>
                <w:rFonts w:ascii="arial" w:hAnsi="arial"/>
                <w:sz w:val="18"/>
              </w:rPr>
              <w:t>Diane Ratekin</w:t>
            </w:r>
          </w:p>
        </w:tc>
        <w:tc>
          <w:tcPr>
            <w:tcW w:w="321"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rPr/>
            </w:pPr>
            <w:r>
              <w:rPr/>
              <w:t>  </w:t>
            </w:r>
          </w:p>
        </w:tc>
        <w:tc>
          <w:tcPr>
            <w:tcW w:w="75"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rPr/>
            </w:pPr>
            <w:r>
              <w:rPr/>
              <w:t> </w:t>
            </w:r>
          </w:p>
        </w:tc>
        <w:tc>
          <w:tcPr>
            <w:tcW w:w="953"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jc w:val="right"/>
              <w:rPr>
                <w:rFonts w:ascii="ARIAL" w:hAnsi="ARIAL"/>
              </w:rPr>
            </w:pPr>
            <w:r>
              <w:rPr>
                <w:rFonts w:ascii="ARIAL" w:hAnsi="ARIAL"/>
              </w:rPr>
              <w:t>0</w:t>
            </w:r>
          </w:p>
        </w:tc>
        <w:tc>
          <w:tcPr>
            <w:tcW w:w="288"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rPr/>
            </w:pPr>
            <w:r>
              <w:rPr/>
              <w:t> </w:t>
            </w:r>
          </w:p>
        </w:tc>
        <w:tc>
          <w:tcPr>
            <w:tcW w:w="406"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rPr/>
            </w:pPr>
            <w:r>
              <w:rPr/>
              <w:t>  </w:t>
            </w:r>
          </w:p>
        </w:tc>
        <w:tc>
          <w:tcPr>
            <w:tcW w:w="63"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rPr/>
            </w:pPr>
            <w:r>
              <w:rPr/>
              <w:t> </w:t>
            </w:r>
          </w:p>
        </w:tc>
        <w:tc>
          <w:tcPr>
            <w:tcW w:w="868"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jc w:val="right"/>
              <w:rPr>
                <w:rFonts w:ascii="ARIAL" w:hAnsi="ARIAL"/>
              </w:rPr>
            </w:pPr>
            <w:r>
              <w:rPr>
                <w:rFonts w:ascii="ARIAL" w:hAnsi="ARIAL"/>
              </w:rPr>
              <w:t>2,326</w:t>
            </w:r>
          </w:p>
        </w:tc>
        <w:tc>
          <w:tcPr>
            <w:tcW w:w="377" w:type="dxa"/>
            <w:tcBorders>
              <w:top w:val="single" w:sz="2" w:space="0" w:color="999999"/>
              <w:bottom w:val="single" w:sz="2" w:space="0" w:color="00548B"/>
            </w:tcBorders>
            <w:shd w:fill="auto" w:val="clear"/>
            <w:tcMar>
              <w:top w:w="28" w:type="dxa"/>
              <w:bottom w:w="28" w:type="dxa"/>
            </w:tcMar>
            <w:vAlign w:val="bottom"/>
          </w:tcPr>
          <w:p>
            <w:pPr>
              <w:pStyle w:val="TableContents"/>
              <w:spacing w:before="0" w:after="283"/>
              <w:rPr/>
            </w:pPr>
            <w:r>
              <w:rPr/>
              <w:t>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(1)</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Mr. Torains restricted and performance shares were awarded on April 1, 2020, using the $43.45 closing price of Huron stock on grant date.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Does not include special time-vested awards for Messrs. Kelly and Torain, as disclosed in the Grants of Plan-Based Awards table in this filing. </w:t>
            </w:r>
          </w:p>
        </w:tc>
      </w:tr>
    </w:tbl>
    <w:p>
      <w:pPr>
        <w:pStyle w:val="TextBody"/>
        <w:spacing w:before="200" w:after="0"/>
        <w:jc w:val="both"/>
        <w:rPr>
          <w:rFonts w:ascii="arial" w:hAnsi="arial"/>
          <w:b/>
          <w:i/>
          <w:color w:val="00548B"/>
          <w:sz w:val="18"/>
        </w:rPr>
      </w:pPr>
      <w:r>
        <w:rPr>
          <w:rFonts w:ascii="arial" w:hAnsi="arial"/>
          <w:b/>
          <w:i/>
          <w:color w:val="00548B"/>
          <w:sz w:val="18"/>
        </w:rPr>
        <w:t xml:space="preserve">Performance Unit Awards </w:t>
      </w:r>
    </w:p>
    <w:p>
      <w:pPr>
        <w:pStyle w:val="TextBody"/>
        <w:spacing w:before="120" w:after="0"/>
        <w:jc w:val="both"/>
        <w:rPr>
          <w:rFonts w:ascii="arial" w:hAnsi="arial"/>
          <w:sz w:val="18"/>
        </w:rPr>
      </w:pPr>
      <w:r>
        <w:rPr>
          <w:rFonts w:ascii="arial" w:hAnsi="arial"/>
          <w:sz w:val="18"/>
        </w:rPr>
        <w:t xml:space="preserve">Performance units may be earned and settled in shares at the end of a full three-year performance period, depending on the level of performance achieved. The performance unit program was redesigned beginning with awards granted in 2018, and the 2020 awards relied on the same structure as the prior two years. The Committee approves three-year absolute goals for both Adjusted Diluted EPS and Revenue Growth, including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establishing a threshold level below which no performance units will vest. These goals are communicated to the NEOs at the time of grant, but we do not share them publicly until the end of the performance period to prevent us from sharing otherwise material non-public information about our financial forecast. </w:t>
      </w:r>
    </w:p>
    <w:p>
      <w:pPr>
        <w:pStyle w:val="TextBody"/>
        <w:spacing w:before="200" w:after="0"/>
        <w:jc w:val="both"/>
        <w:rPr>
          <w:rFonts w:ascii="arial" w:hAnsi="arial"/>
          <w:b/>
          <w:i/>
          <w:color w:val="00548B"/>
          <w:sz w:val="18"/>
        </w:rPr>
      </w:pPr>
      <w:r>
        <w:rPr>
          <w:rFonts w:ascii="arial" w:hAnsi="arial"/>
          <w:b/>
          <w:i/>
          <w:color w:val="00548B"/>
          <w:sz w:val="18"/>
        </w:rPr>
        <w:t xml:space="preserve">Restricted Shares </w:t>
      </w:r>
    </w:p>
    <w:p>
      <w:pPr>
        <w:pStyle w:val="TextBody"/>
        <w:spacing w:before="0" w:after="0"/>
        <w:jc w:val="both"/>
        <w:rPr>
          <w:rFonts w:ascii="arial" w:hAnsi="arial"/>
          <w:sz w:val="18"/>
        </w:rPr>
      </w:pPr>
      <w:r>
        <w:rPr>
          <w:rFonts w:ascii="arial" w:hAnsi="arial"/>
          <w:sz w:val="18"/>
        </w:rPr>
        <w:t xml:space="preserve">Restricted shares vest ratably over a three-year period, beginning on the first anniversary of the date of grant. </w:t>
      </w:r>
    </w:p>
    <w:p>
      <w:pPr>
        <w:pStyle w:val="TextBody"/>
        <w:spacing w:before="200" w:after="0"/>
        <w:jc w:val="both"/>
        <w:rPr>
          <w:rFonts w:ascii="arial" w:hAnsi="arial"/>
          <w:b/>
          <w:i/>
          <w:color w:val="00548B"/>
          <w:sz w:val="18"/>
        </w:rPr>
      </w:pPr>
      <w:r>
        <w:rPr>
          <w:rFonts w:ascii="arial" w:hAnsi="arial"/>
          <w:b/>
          <w:i/>
          <w:color w:val="00548B"/>
          <w:sz w:val="18"/>
        </w:rPr>
        <w:t xml:space="preserve">Performance Unit Vesting </w:t>
      </w:r>
    </w:p>
    <w:p>
      <w:pPr>
        <w:pStyle w:val="TextBody"/>
        <w:spacing w:before="0" w:after="0"/>
        <w:jc w:val="both"/>
        <w:rPr>
          <w:rFonts w:ascii="arial" w:hAnsi="arial"/>
          <w:sz w:val="18"/>
        </w:rPr>
      </w:pPr>
      <w:r>
        <w:rPr>
          <w:rFonts w:ascii="arial" w:hAnsi="arial"/>
          <w:sz w:val="18"/>
        </w:rPr>
        <w:t xml:space="preserve">The 2018 award of performance units completed its three-year performance cycle as of December 31, 2020. The table below illustrates the structure of the performance units granted in 2018.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20"/>
        <w:gridCol w:w="73"/>
        <w:gridCol w:w="1790"/>
        <w:gridCol w:w="73"/>
        <w:gridCol w:w="1790"/>
        <w:gridCol w:w="73"/>
        <w:gridCol w:w="1430"/>
        <w:gridCol w:w="73"/>
        <w:gridCol w:w="1790"/>
        <w:gridCol w:w="73"/>
        <w:gridCol w:w="1420"/>
      </w:tblGrid>
      <w:tr>
        <w:trPr/>
        <w:tc>
          <w:tcPr>
            <w:tcW w:w="162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bottom"/>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bottom"/>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bottom"/>
          </w:tcPr>
          <w:p>
            <w:pPr>
              <w:pStyle w:val="TableContents"/>
              <w:spacing w:before="0" w:after="283"/>
              <w:rPr>
                <w:sz w:val="4"/>
                <w:szCs w:val="4"/>
              </w:rPr>
            </w:pPr>
            <w:r>
              <w:rPr>
                <w:sz w:val="4"/>
                <w:szCs w:val="4"/>
              </w:rPr>
            </w:r>
          </w:p>
        </w:tc>
        <w:tc>
          <w:tcPr>
            <w:tcW w:w="143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bottom"/>
          </w:tcPr>
          <w:p>
            <w:pPr>
              <w:pStyle w:val="TableContents"/>
              <w:spacing w:before="0" w:after="283"/>
              <w:rPr>
                <w:sz w:val="4"/>
                <w:szCs w:val="4"/>
              </w:rPr>
            </w:pPr>
            <w:r>
              <w:rPr>
                <w:sz w:val="4"/>
                <w:szCs w:val="4"/>
              </w:rPr>
            </w:r>
          </w:p>
        </w:tc>
        <w:tc>
          <w:tcPr>
            <w:tcW w:w="1790" w:type="dxa"/>
            <w:tcBorders/>
            <w:shd w:fill="auto" w:val="clear"/>
            <w:vAlign w:val="center"/>
          </w:tcPr>
          <w:p>
            <w:pPr>
              <w:pStyle w:val="TableContents"/>
              <w:spacing w:before="0" w:after="283"/>
              <w:rPr>
                <w:sz w:val="4"/>
                <w:szCs w:val="4"/>
              </w:rPr>
            </w:pPr>
            <w:r>
              <w:rPr>
                <w:sz w:val="4"/>
                <w:szCs w:val="4"/>
              </w:rPr>
            </w:r>
          </w:p>
        </w:tc>
        <w:tc>
          <w:tcPr>
            <w:tcW w:w="73" w:type="dxa"/>
            <w:tcBorders/>
            <w:shd w:fill="auto" w:val="clear"/>
            <w:vAlign w:val="bottom"/>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r>
      <w:tr>
        <w:trPr/>
        <w:tc>
          <w:tcPr>
            <w:tcW w:w="1620" w:type="dxa"/>
            <w:tcBorders/>
            <w:shd w:fill="00548B" w:val="clear"/>
            <w:vAlign w:val="bottom"/>
          </w:tcPr>
          <w:p>
            <w:pPr>
              <w:pStyle w:val="TableContents"/>
              <w:spacing w:before="0" w:after="283"/>
              <w:rPr>
                <w:b/>
                <w:color w:val="E5E5E5"/>
              </w:rPr>
            </w:pPr>
            <w:r>
              <w:rPr>
                <w:b/>
                <w:color w:val="E5E5E5"/>
              </w:rPr>
              <w:t>Performance Measure</w:t>
            </w:r>
          </w:p>
        </w:tc>
        <w:tc>
          <w:tcPr>
            <w:tcW w:w="73" w:type="dxa"/>
            <w:tcBorders/>
            <w:shd w:fill="00548B" w:val="clear"/>
            <w:vAlign w:val="bottom"/>
          </w:tcPr>
          <w:p>
            <w:pPr>
              <w:pStyle w:val="TableContents"/>
              <w:spacing w:before="0" w:after="283"/>
              <w:rPr/>
            </w:pPr>
            <w:r>
              <w:rPr/>
              <w:t> </w:t>
            </w:r>
          </w:p>
        </w:tc>
        <w:tc>
          <w:tcPr>
            <w:tcW w:w="1790" w:type="dxa"/>
            <w:tcBorders/>
            <w:shd w:fill="00548B" w:val="clear"/>
            <w:vAlign w:val="bottom"/>
          </w:tcPr>
          <w:p>
            <w:pPr>
              <w:pStyle w:val="TableContents"/>
              <w:spacing w:before="0" w:after="283"/>
              <w:jc w:val="center"/>
              <w:rPr>
                <w:color w:val="E5E5E5"/>
              </w:rPr>
            </w:pPr>
            <w:r>
              <w:rPr>
                <w:color w:val="E5E5E5"/>
              </w:rPr>
              <w:t>      </w:t>
            </w:r>
            <w:r>
              <w:rPr>
                <w:b/>
                <w:color w:val="E5E5E5"/>
              </w:rPr>
              <w:t>Weighting      </w:t>
            </w:r>
          </w:p>
        </w:tc>
        <w:tc>
          <w:tcPr>
            <w:tcW w:w="73" w:type="dxa"/>
            <w:tcBorders/>
            <w:shd w:fill="00548B" w:val="clear"/>
            <w:vAlign w:val="bottom"/>
          </w:tcPr>
          <w:p>
            <w:pPr>
              <w:pStyle w:val="TableContents"/>
              <w:spacing w:before="0" w:after="283"/>
              <w:rPr/>
            </w:pPr>
            <w:r>
              <w:rPr/>
              <w:t> </w:t>
            </w:r>
          </w:p>
        </w:tc>
        <w:tc>
          <w:tcPr>
            <w:tcW w:w="1790" w:type="dxa"/>
            <w:tcBorders/>
            <w:shd w:fill="00548B" w:val="clear"/>
            <w:vAlign w:val="bottom"/>
          </w:tcPr>
          <w:p>
            <w:pPr>
              <w:pStyle w:val="TableContents"/>
              <w:spacing w:before="0" w:after="283"/>
              <w:jc w:val="center"/>
              <w:rPr>
                <w:color w:val="E5E5E5"/>
              </w:rPr>
            </w:pPr>
            <w:r>
              <w:rPr>
                <w:color w:val="E5E5E5"/>
              </w:rPr>
              <w:t>      </w:t>
            </w:r>
            <w:r>
              <w:rPr>
                <w:b/>
                <w:color w:val="E5E5E5"/>
              </w:rPr>
              <w:t>Threshold      </w:t>
            </w:r>
          </w:p>
        </w:tc>
        <w:tc>
          <w:tcPr>
            <w:tcW w:w="73" w:type="dxa"/>
            <w:tcBorders/>
            <w:shd w:fill="00548B" w:val="clear"/>
            <w:vAlign w:val="bottom"/>
          </w:tcPr>
          <w:p>
            <w:pPr>
              <w:pStyle w:val="TableContents"/>
              <w:spacing w:before="0" w:after="283"/>
              <w:rPr/>
            </w:pPr>
            <w:r>
              <w:rPr/>
              <w:t> </w:t>
            </w:r>
          </w:p>
        </w:tc>
        <w:tc>
          <w:tcPr>
            <w:tcW w:w="1430" w:type="dxa"/>
            <w:tcBorders/>
            <w:shd w:fill="00548B" w:val="clear"/>
            <w:vAlign w:val="bottom"/>
          </w:tcPr>
          <w:p>
            <w:pPr>
              <w:pStyle w:val="TableContents"/>
              <w:spacing w:before="0" w:after="283"/>
              <w:jc w:val="center"/>
              <w:rPr>
                <w:color w:val="E5E5E5"/>
              </w:rPr>
            </w:pPr>
            <w:r>
              <w:rPr>
                <w:color w:val="E5E5E5"/>
              </w:rPr>
              <w:t>      </w:t>
            </w:r>
            <w:r>
              <w:rPr>
                <w:b/>
                <w:color w:val="E5E5E5"/>
              </w:rPr>
              <w:t>Target      </w:t>
            </w:r>
          </w:p>
        </w:tc>
        <w:tc>
          <w:tcPr>
            <w:tcW w:w="73" w:type="dxa"/>
            <w:tcBorders/>
            <w:shd w:fill="00548B" w:val="clear"/>
            <w:vAlign w:val="bottom"/>
          </w:tcPr>
          <w:p>
            <w:pPr>
              <w:pStyle w:val="TableContents"/>
              <w:spacing w:before="0" w:after="283"/>
              <w:rPr/>
            </w:pPr>
            <w:r>
              <w:rPr/>
              <w:t> </w:t>
            </w:r>
          </w:p>
        </w:tc>
        <w:tc>
          <w:tcPr>
            <w:tcW w:w="1790" w:type="dxa"/>
            <w:tcBorders/>
            <w:shd w:fill="00548B" w:val="clear"/>
            <w:vAlign w:val="bottom"/>
          </w:tcPr>
          <w:p>
            <w:pPr>
              <w:pStyle w:val="TableContents"/>
              <w:spacing w:before="0" w:after="283"/>
              <w:jc w:val="center"/>
              <w:rPr>
                <w:color w:val="E5E5E5"/>
              </w:rPr>
            </w:pPr>
            <w:r>
              <w:rPr>
                <w:color w:val="E5E5E5"/>
              </w:rPr>
              <w:t>      </w:t>
            </w:r>
            <w:r>
              <w:rPr>
                <w:b/>
                <w:color w:val="E5E5E5"/>
              </w:rPr>
              <w:t>Maximum      </w:t>
            </w:r>
          </w:p>
        </w:tc>
        <w:tc>
          <w:tcPr>
            <w:tcW w:w="73" w:type="dxa"/>
            <w:tcBorders/>
            <w:shd w:fill="00548B" w:val="clear"/>
            <w:vAlign w:val="bottom"/>
          </w:tcPr>
          <w:p>
            <w:pPr>
              <w:pStyle w:val="TableContents"/>
              <w:spacing w:before="0" w:after="283"/>
              <w:rPr/>
            </w:pPr>
            <w:r>
              <w:rPr/>
              <w:t> </w:t>
            </w:r>
          </w:p>
        </w:tc>
        <w:tc>
          <w:tcPr>
            <w:tcW w:w="1420" w:type="dxa"/>
            <w:tcBorders/>
            <w:shd w:fill="00548B" w:val="clear"/>
            <w:vAlign w:val="bottom"/>
          </w:tcPr>
          <w:p>
            <w:pPr>
              <w:pStyle w:val="TableContents"/>
              <w:spacing w:before="0" w:after="283"/>
              <w:jc w:val="center"/>
              <w:rPr>
                <w:color w:val="E5E5E5"/>
              </w:rPr>
            </w:pPr>
            <w:r>
              <w:rPr>
                <w:color w:val="E5E5E5"/>
              </w:rPr>
              <w:t>      </w:t>
            </w:r>
            <w:r>
              <w:rPr>
                <w:b/>
                <w:color w:val="E5E5E5"/>
              </w:rPr>
              <w:t>Actual      </w:t>
            </w:r>
          </w:p>
        </w:tc>
      </w:tr>
      <w:tr>
        <w:trPr/>
        <w:tc>
          <w:tcPr>
            <w:tcW w:w="1620" w:type="dxa"/>
            <w:tcBorders>
              <w:bottom w:val="single" w:sz="2" w:space="0" w:color="AAAAAA"/>
            </w:tcBorders>
            <w:shd w:fill="auto" w:val="clear"/>
            <w:tcMar>
              <w:bottom w:w="28" w:type="dxa"/>
            </w:tcMar>
          </w:tcPr>
          <w:p>
            <w:pPr>
              <w:pStyle w:val="TableContents"/>
              <w:spacing w:before="0" w:after="0"/>
              <w:rPr>
                <w:rFonts w:ascii="arial" w:hAnsi="arial"/>
                <w:sz w:val="18"/>
              </w:rPr>
            </w:pPr>
            <w:r>
              <w:rPr>
                <w:rFonts w:ascii="arial" w:hAnsi="arial"/>
                <w:sz w:val="18"/>
              </w:rPr>
              <w:t>Adjusted Diluted EPS</w:t>
            </w:r>
          </w:p>
        </w:tc>
        <w:tc>
          <w:tcPr>
            <w:tcW w:w="73" w:type="dxa"/>
            <w:tcBorders>
              <w:bottom w:val="single" w:sz="2" w:space="0" w:color="AAAAAA"/>
            </w:tcBorders>
            <w:shd w:fill="auto" w:val="clear"/>
            <w:tcMar>
              <w:bottom w:w="28" w:type="dxa"/>
            </w:tcMar>
            <w:vAlign w:val="bottom"/>
          </w:tcPr>
          <w:p>
            <w:pPr>
              <w:pStyle w:val="TableContents"/>
              <w:spacing w:before="0" w:after="283"/>
              <w:rPr/>
            </w:pPr>
            <w:r>
              <w:rPr/>
              <w:t> </w:t>
            </w:r>
          </w:p>
        </w:tc>
        <w:tc>
          <w:tcPr>
            <w:tcW w:w="1790" w:type="dxa"/>
            <w:tcBorders>
              <w:bottom w:val="single" w:sz="2" w:space="0" w:color="AAAAAA"/>
            </w:tcBorders>
            <w:shd w:fill="auto" w:val="clear"/>
            <w:tcMar>
              <w:bottom w:w="28" w:type="dxa"/>
            </w:tcMar>
            <w:vAlign w:val="bottom"/>
          </w:tcPr>
          <w:p>
            <w:pPr>
              <w:pStyle w:val="TableContents"/>
              <w:spacing w:before="0" w:after="283"/>
              <w:jc w:val="center"/>
              <w:rPr/>
            </w:pPr>
            <w:r>
              <w:rPr/>
              <w:t>57%</w:t>
            </w:r>
          </w:p>
        </w:tc>
        <w:tc>
          <w:tcPr>
            <w:tcW w:w="73" w:type="dxa"/>
            <w:tcBorders>
              <w:bottom w:val="single" w:sz="2" w:space="0" w:color="AAAAAA"/>
            </w:tcBorders>
            <w:shd w:fill="auto" w:val="clear"/>
            <w:tcMar>
              <w:bottom w:w="28" w:type="dxa"/>
            </w:tcMar>
            <w:vAlign w:val="bottom"/>
          </w:tcPr>
          <w:p>
            <w:pPr>
              <w:pStyle w:val="TableContents"/>
              <w:spacing w:before="0" w:after="283"/>
              <w:rPr/>
            </w:pPr>
            <w:r>
              <w:rPr/>
              <w:t> </w:t>
            </w:r>
          </w:p>
        </w:tc>
        <w:tc>
          <w:tcPr>
            <w:tcW w:w="1790" w:type="dxa"/>
            <w:tcBorders>
              <w:bottom w:val="single" w:sz="2" w:space="0" w:color="AAAAAA"/>
            </w:tcBorders>
            <w:shd w:fill="auto" w:val="clear"/>
            <w:tcMar>
              <w:bottom w:w="28" w:type="dxa"/>
            </w:tcMar>
            <w:vAlign w:val="bottom"/>
          </w:tcPr>
          <w:p>
            <w:pPr>
              <w:pStyle w:val="TableContents"/>
              <w:spacing w:before="0" w:after="283"/>
              <w:jc w:val="center"/>
              <w:rPr/>
            </w:pPr>
            <w:r>
              <w:rPr/>
              <w:t>$6.44</w:t>
            </w:r>
          </w:p>
        </w:tc>
        <w:tc>
          <w:tcPr>
            <w:tcW w:w="73" w:type="dxa"/>
            <w:tcBorders>
              <w:bottom w:val="single" w:sz="2" w:space="0" w:color="AAAAAA"/>
            </w:tcBorders>
            <w:shd w:fill="auto" w:val="clear"/>
            <w:tcMar>
              <w:bottom w:w="28" w:type="dxa"/>
            </w:tcMar>
            <w:vAlign w:val="bottom"/>
          </w:tcPr>
          <w:p>
            <w:pPr>
              <w:pStyle w:val="TableContents"/>
              <w:spacing w:before="0" w:after="283"/>
              <w:rPr/>
            </w:pPr>
            <w:r>
              <w:rPr/>
              <w:t> </w:t>
            </w:r>
          </w:p>
        </w:tc>
        <w:tc>
          <w:tcPr>
            <w:tcW w:w="1430" w:type="dxa"/>
            <w:tcBorders>
              <w:bottom w:val="single" w:sz="2" w:space="0" w:color="AAAAAA"/>
            </w:tcBorders>
            <w:shd w:fill="auto" w:val="clear"/>
            <w:tcMar>
              <w:bottom w:w="28" w:type="dxa"/>
            </w:tcMar>
            <w:vAlign w:val="bottom"/>
          </w:tcPr>
          <w:p>
            <w:pPr>
              <w:pStyle w:val="TableContents"/>
              <w:spacing w:before="0" w:after="283"/>
              <w:jc w:val="center"/>
              <w:rPr/>
            </w:pPr>
            <w:r>
              <w:rPr/>
              <w:t>$7.58</w:t>
            </w:r>
          </w:p>
        </w:tc>
        <w:tc>
          <w:tcPr>
            <w:tcW w:w="73" w:type="dxa"/>
            <w:tcBorders>
              <w:bottom w:val="single" w:sz="2" w:space="0" w:color="AAAAAA"/>
            </w:tcBorders>
            <w:shd w:fill="auto" w:val="clear"/>
            <w:tcMar>
              <w:bottom w:w="28" w:type="dxa"/>
            </w:tcMar>
            <w:vAlign w:val="bottom"/>
          </w:tcPr>
          <w:p>
            <w:pPr>
              <w:pStyle w:val="TableContents"/>
              <w:spacing w:before="0" w:after="283"/>
              <w:rPr/>
            </w:pPr>
            <w:r>
              <w:rPr/>
              <w:t> </w:t>
            </w:r>
          </w:p>
        </w:tc>
        <w:tc>
          <w:tcPr>
            <w:tcW w:w="1790" w:type="dxa"/>
            <w:tcBorders>
              <w:bottom w:val="single" w:sz="2" w:space="0" w:color="AAAAAA"/>
            </w:tcBorders>
            <w:shd w:fill="auto" w:val="clear"/>
            <w:tcMar>
              <w:bottom w:w="28" w:type="dxa"/>
            </w:tcMar>
            <w:vAlign w:val="bottom"/>
          </w:tcPr>
          <w:p>
            <w:pPr>
              <w:pStyle w:val="TableContents"/>
              <w:spacing w:before="0" w:after="283"/>
              <w:jc w:val="center"/>
              <w:rPr/>
            </w:pPr>
            <w:r>
              <w:rPr/>
              <w:t>$8.72</w:t>
            </w:r>
          </w:p>
        </w:tc>
        <w:tc>
          <w:tcPr>
            <w:tcW w:w="73" w:type="dxa"/>
            <w:tcBorders>
              <w:bottom w:val="single" w:sz="2" w:space="0" w:color="AAAAAA"/>
            </w:tcBorders>
            <w:shd w:fill="auto" w:val="clear"/>
            <w:tcMar>
              <w:bottom w:w="28" w:type="dxa"/>
            </w:tcMar>
            <w:vAlign w:val="bottom"/>
          </w:tcPr>
          <w:p>
            <w:pPr>
              <w:pStyle w:val="TableContents"/>
              <w:spacing w:before="0" w:after="283"/>
              <w:rPr/>
            </w:pPr>
            <w:r>
              <w:rPr/>
              <w:t> </w:t>
            </w:r>
          </w:p>
        </w:tc>
        <w:tc>
          <w:tcPr>
            <w:tcW w:w="1420" w:type="dxa"/>
            <w:tcBorders>
              <w:bottom w:val="single" w:sz="2" w:space="0" w:color="AAAAAA"/>
            </w:tcBorders>
            <w:shd w:fill="auto" w:val="clear"/>
            <w:tcMar>
              <w:bottom w:w="28" w:type="dxa"/>
            </w:tcMar>
            <w:vAlign w:val="bottom"/>
          </w:tcPr>
          <w:p>
            <w:pPr>
              <w:pStyle w:val="TableContents"/>
              <w:spacing w:before="0" w:after="283"/>
              <w:jc w:val="center"/>
              <w:rPr/>
            </w:pPr>
            <w:r>
              <w:rPr/>
              <w:t>$6.97</w:t>
            </w:r>
          </w:p>
        </w:tc>
      </w:tr>
      <w:tr>
        <w:trPr/>
        <w:tc>
          <w:tcPr>
            <w:tcW w:w="1620" w:type="dxa"/>
            <w:tcBorders>
              <w:bottom w:val="single" w:sz="2" w:space="0" w:color="00548B"/>
            </w:tcBorders>
            <w:shd w:fill="auto" w:val="clear"/>
            <w:tcMar>
              <w:bottom w:w="28" w:type="dxa"/>
            </w:tcMar>
          </w:tcPr>
          <w:p>
            <w:pPr>
              <w:pStyle w:val="TableContents"/>
              <w:spacing w:before="0" w:after="0"/>
              <w:rPr>
                <w:rFonts w:ascii="arial" w:hAnsi="arial"/>
                <w:sz w:val="18"/>
              </w:rPr>
            </w:pPr>
            <w:r>
              <w:rPr>
                <w:rFonts w:ascii="arial" w:hAnsi="arial"/>
                <w:sz w:val="18"/>
              </w:rPr>
              <w:t>Revenue Growth</w:t>
            </w:r>
          </w:p>
        </w:tc>
        <w:tc>
          <w:tcPr>
            <w:tcW w:w="73" w:type="dxa"/>
            <w:tcBorders>
              <w:bottom w:val="single" w:sz="2" w:space="0" w:color="00548B"/>
            </w:tcBorders>
            <w:shd w:fill="auto" w:val="clear"/>
            <w:tcMar>
              <w:bottom w:w="28" w:type="dxa"/>
            </w:tcMar>
            <w:vAlign w:val="bottom"/>
          </w:tcPr>
          <w:p>
            <w:pPr>
              <w:pStyle w:val="TableContents"/>
              <w:spacing w:before="0" w:after="283"/>
              <w:rPr/>
            </w:pPr>
            <w:r>
              <w:rPr/>
              <w:t> </w:t>
            </w:r>
          </w:p>
        </w:tc>
        <w:tc>
          <w:tcPr>
            <w:tcW w:w="1790" w:type="dxa"/>
            <w:tcBorders>
              <w:bottom w:val="single" w:sz="2" w:space="0" w:color="00548B"/>
            </w:tcBorders>
            <w:shd w:fill="auto" w:val="clear"/>
            <w:tcMar>
              <w:bottom w:w="28" w:type="dxa"/>
            </w:tcMar>
            <w:vAlign w:val="bottom"/>
          </w:tcPr>
          <w:p>
            <w:pPr>
              <w:pStyle w:val="TableContents"/>
              <w:spacing w:before="0" w:after="283"/>
              <w:jc w:val="center"/>
              <w:rPr/>
            </w:pPr>
            <w:r>
              <w:rPr/>
              <w:t>43%</w:t>
            </w:r>
          </w:p>
        </w:tc>
        <w:tc>
          <w:tcPr>
            <w:tcW w:w="73" w:type="dxa"/>
            <w:tcBorders>
              <w:bottom w:val="single" w:sz="2" w:space="0" w:color="00548B"/>
            </w:tcBorders>
            <w:shd w:fill="auto" w:val="clear"/>
            <w:tcMar>
              <w:bottom w:w="28" w:type="dxa"/>
            </w:tcMar>
            <w:vAlign w:val="bottom"/>
          </w:tcPr>
          <w:p>
            <w:pPr>
              <w:pStyle w:val="TableContents"/>
              <w:spacing w:before="0" w:after="283"/>
              <w:rPr/>
            </w:pPr>
            <w:r>
              <w:rPr/>
              <w:t> </w:t>
            </w:r>
          </w:p>
        </w:tc>
        <w:tc>
          <w:tcPr>
            <w:tcW w:w="1790" w:type="dxa"/>
            <w:tcBorders>
              <w:bottom w:val="single" w:sz="2" w:space="0" w:color="00548B"/>
            </w:tcBorders>
            <w:shd w:fill="auto" w:val="clear"/>
            <w:tcMar>
              <w:bottom w:w="28" w:type="dxa"/>
            </w:tcMar>
            <w:vAlign w:val="bottom"/>
          </w:tcPr>
          <w:p>
            <w:pPr>
              <w:pStyle w:val="TableContents"/>
              <w:spacing w:before="0" w:after="283"/>
              <w:jc w:val="center"/>
              <w:rPr/>
            </w:pPr>
            <w:r>
              <w:rPr/>
              <w:t>$2,238M</w:t>
            </w:r>
          </w:p>
        </w:tc>
        <w:tc>
          <w:tcPr>
            <w:tcW w:w="73" w:type="dxa"/>
            <w:tcBorders>
              <w:bottom w:val="single" w:sz="2" w:space="0" w:color="00548B"/>
            </w:tcBorders>
            <w:shd w:fill="auto" w:val="clear"/>
            <w:tcMar>
              <w:bottom w:w="28" w:type="dxa"/>
            </w:tcMar>
            <w:vAlign w:val="bottom"/>
          </w:tcPr>
          <w:p>
            <w:pPr>
              <w:pStyle w:val="TableContents"/>
              <w:spacing w:before="0" w:after="283"/>
              <w:rPr/>
            </w:pPr>
            <w:r>
              <w:rPr/>
              <w:t> </w:t>
            </w:r>
          </w:p>
        </w:tc>
        <w:tc>
          <w:tcPr>
            <w:tcW w:w="1430" w:type="dxa"/>
            <w:tcBorders>
              <w:bottom w:val="single" w:sz="2" w:space="0" w:color="00548B"/>
            </w:tcBorders>
            <w:shd w:fill="auto" w:val="clear"/>
            <w:tcMar>
              <w:bottom w:w="28" w:type="dxa"/>
            </w:tcMar>
            <w:vAlign w:val="bottom"/>
          </w:tcPr>
          <w:p>
            <w:pPr>
              <w:pStyle w:val="TableContents"/>
              <w:spacing w:before="0" w:after="283"/>
              <w:jc w:val="center"/>
              <w:rPr/>
            </w:pPr>
            <w:r>
              <w:rPr/>
              <w:t>$2,356M</w:t>
            </w:r>
          </w:p>
        </w:tc>
        <w:tc>
          <w:tcPr>
            <w:tcW w:w="73" w:type="dxa"/>
            <w:tcBorders>
              <w:bottom w:val="single" w:sz="2" w:space="0" w:color="00548B"/>
            </w:tcBorders>
            <w:shd w:fill="auto" w:val="clear"/>
            <w:tcMar>
              <w:bottom w:w="28" w:type="dxa"/>
            </w:tcMar>
            <w:vAlign w:val="bottom"/>
          </w:tcPr>
          <w:p>
            <w:pPr>
              <w:pStyle w:val="TableContents"/>
              <w:spacing w:before="0" w:after="283"/>
              <w:rPr/>
            </w:pPr>
            <w:r>
              <w:rPr/>
              <w:t> </w:t>
            </w:r>
          </w:p>
        </w:tc>
        <w:tc>
          <w:tcPr>
            <w:tcW w:w="1790" w:type="dxa"/>
            <w:tcBorders>
              <w:bottom w:val="single" w:sz="2" w:space="0" w:color="00548B"/>
            </w:tcBorders>
            <w:shd w:fill="auto" w:val="clear"/>
            <w:tcMar>
              <w:bottom w:w="28" w:type="dxa"/>
            </w:tcMar>
            <w:vAlign w:val="bottom"/>
          </w:tcPr>
          <w:p>
            <w:pPr>
              <w:pStyle w:val="TableContents"/>
              <w:spacing w:before="0" w:after="283"/>
              <w:jc w:val="center"/>
              <w:rPr/>
            </w:pPr>
            <w:r>
              <w:rPr/>
              <w:t>$2,627M</w:t>
            </w:r>
          </w:p>
        </w:tc>
        <w:tc>
          <w:tcPr>
            <w:tcW w:w="73" w:type="dxa"/>
            <w:tcBorders>
              <w:bottom w:val="single" w:sz="2" w:space="0" w:color="00548B"/>
            </w:tcBorders>
            <w:shd w:fill="auto" w:val="clear"/>
            <w:tcMar>
              <w:bottom w:w="28" w:type="dxa"/>
            </w:tcMar>
            <w:vAlign w:val="bottom"/>
          </w:tcPr>
          <w:p>
            <w:pPr>
              <w:pStyle w:val="TableContents"/>
              <w:spacing w:before="0" w:after="283"/>
              <w:rPr/>
            </w:pPr>
            <w:r>
              <w:rPr/>
              <w:t> </w:t>
            </w:r>
          </w:p>
        </w:tc>
        <w:tc>
          <w:tcPr>
            <w:tcW w:w="1420" w:type="dxa"/>
            <w:tcBorders>
              <w:bottom w:val="single" w:sz="2" w:space="0" w:color="00548B"/>
            </w:tcBorders>
            <w:shd w:fill="auto" w:val="clear"/>
            <w:tcMar>
              <w:bottom w:w="28" w:type="dxa"/>
            </w:tcMar>
            <w:vAlign w:val="bottom"/>
          </w:tcPr>
          <w:p>
            <w:pPr>
              <w:pStyle w:val="TableContents"/>
              <w:spacing w:before="0" w:after="283"/>
              <w:jc w:val="center"/>
              <w:rPr/>
            </w:pPr>
            <w:r>
              <w:rPr/>
              <w:t>$2,516M</w:t>
            </w:r>
          </w:p>
        </w:tc>
      </w:tr>
    </w:tbl>
    <w:p>
      <w:pPr>
        <w:pStyle w:val="TextBody"/>
        <w:spacing w:before="200" w:after="0"/>
        <w:jc w:val="both"/>
        <w:rPr>
          <w:rFonts w:ascii="arial" w:hAnsi="arial"/>
          <w:sz w:val="18"/>
        </w:rPr>
      </w:pPr>
      <w:r>
        <w:rPr>
          <w:rFonts w:ascii="arial" w:hAnsi="arial"/>
          <w:sz w:val="18"/>
        </w:rPr>
        <w:t xml:space="preserve">As a result of the actual performance achieved, the Compensation Committee approved vesting of 102% of the original target number of performance units. </w:t>
      </w:r>
    </w:p>
    <w:p>
      <w:pPr>
        <w:pStyle w:val="TextBody"/>
        <w:spacing w:before="200" w:after="0"/>
        <w:jc w:val="both"/>
        <w:rPr>
          <w:rFonts w:ascii="arial" w:hAnsi="arial"/>
          <w:b/>
          <w:i/>
          <w:color w:val="00548B"/>
          <w:sz w:val="18"/>
        </w:rPr>
      </w:pPr>
      <w:r>
        <w:rPr>
          <w:rFonts w:ascii="arial" w:hAnsi="arial"/>
          <w:b/>
          <w:i/>
          <w:color w:val="00548B"/>
          <w:sz w:val="18"/>
        </w:rPr>
        <w:t xml:space="preserve">2021 Compensation Program Actions </w:t>
      </w:r>
    </w:p>
    <w:p>
      <w:pPr>
        <w:pStyle w:val="TextBody"/>
        <w:spacing w:before="0" w:after="0"/>
        <w:jc w:val="both"/>
        <w:rPr>
          <w:rFonts w:ascii="arial" w:hAnsi="arial"/>
          <w:sz w:val="18"/>
        </w:rPr>
      </w:pPr>
      <w:r>
        <w:rPr>
          <w:rFonts w:ascii="arial" w:hAnsi="arial"/>
          <w:sz w:val="18"/>
        </w:rPr>
        <w:t xml:space="preserve">COVID-19 continues to impact our communities, our clients, our employees, and therefore our business, and the duration and severity of the ongoing disruption is unclear. As discussed, the Compensation Committee took a holistic view of the impact of COVID-19 on our business as well as on our NEOs compensation for 2020 and will continue to do so in 2021. The Committee approved design changes to certain aspects of the 2021 NEO compensation program, though the target pay opportunity levels remain unchanged from 2020. </w:t>
      </w:r>
    </w:p>
    <w:p>
      <w:pPr>
        <w:pStyle w:val="TextBody"/>
        <w:spacing w:before="200" w:after="0"/>
        <w:jc w:val="both"/>
        <w:rPr>
          <w:rFonts w:ascii="arial" w:hAnsi="arial"/>
          <w:b/>
          <w:i/>
          <w:color w:val="00548B"/>
          <w:sz w:val="18"/>
        </w:rPr>
      </w:pPr>
      <w:r>
        <w:rPr>
          <w:rFonts w:ascii="arial" w:hAnsi="arial"/>
          <w:b/>
          <w:i/>
          <w:color w:val="00548B"/>
          <w:sz w:val="18"/>
        </w:rPr>
        <w:t xml:space="preserve">2021 Annual Incentive Program </w:t>
      </w:r>
    </w:p>
    <w:p>
      <w:pPr>
        <w:pStyle w:val="TextBody"/>
        <w:spacing w:before="0" w:after="0"/>
        <w:jc w:val="both"/>
        <w:rPr>
          <w:rFonts w:ascii="arial" w:hAnsi="arial"/>
          <w:sz w:val="18"/>
        </w:rPr>
      </w:pPr>
      <w:r>
        <w:rPr>
          <w:rFonts w:ascii="arial" w:hAnsi="arial"/>
          <w:sz w:val="18"/>
        </w:rPr>
        <w:t xml:space="preserve">The Committee and management continue to believe that the NEOs should be critically focused on improving shareholder value through driving the profitable growth of the organization. As such, the Committee retained Organic Revenue Growth and Adjusted EBITDA Margin as the primary annual incentive financial metrics, with a combined 75% weighting. The Committee and management also recognize the importance of the nature by which these financial results are achieved and retained Strategic Measures to determine a portion of the award. For 2021, the Strategic Measures have been enhanced to include Environmental, Social and Governance (ESG) goals, increasing the weighting of the Strategic Measures category from 20% to 25% of the target NEO annual incentive opportunity. As in prior years, the majority of the Strategic Measures will be determined based on performance against objective, quantifiable goals. </w:t>
      </w:r>
    </w:p>
    <w:p>
      <w:pPr>
        <w:pStyle w:val="TextBody"/>
        <w:spacing w:before="200" w:after="0"/>
        <w:jc w:val="both"/>
        <w:rPr>
          <w:rFonts w:ascii="arial" w:hAnsi="arial"/>
          <w:b/>
          <w:i/>
          <w:color w:val="00548B"/>
          <w:sz w:val="18"/>
        </w:rPr>
      </w:pPr>
      <w:r>
        <w:rPr>
          <w:rFonts w:ascii="arial" w:hAnsi="arial"/>
          <w:b/>
          <w:i/>
          <w:color w:val="00548B"/>
          <w:sz w:val="18"/>
        </w:rPr>
        <w:t xml:space="preserve">2021 Long-Term Incentive Program </w:t>
      </w:r>
    </w:p>
    <w:p>
      <w:pPr>
        <w:pStyle w:val="TextBody"/>
        <w:spacing w:before="0" w:after="0"/>
        <w:jc w:val="both"/>
        <w:rPr>
          <w:rFonts w:ascii="arial" w:hAnsi="arial"/>
          <w:sz w:val="18"/>
        </w:rPr>
      </w:pPr>
      <w:r>
        <w:rPr>
          <w:rFonts w:ascii="arial" w:hAnsi="arial"/>
          <w:sz w:val="18"/>
        </w:rPr>
        <w:t xml:space="preserve">For 2021, the Committee made two changes to the program design due to the ongoing uncertainty presented by the COVID-19 pandemic and the Committees desire to retain a competitive earning opportunity and shareholder alignment for the NEOs.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203"/>
        <w:gridCol w:w="101"/>
        <w:gridCol w:w="9393"/>
      </w:tblGrid>
      <w:tr>
        <w:trPr/>
        <w:tc>
          <w:tcPr>
            <w:tcW w:w="508"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color w:val="00548B"/>
              </w:rPr>
            </w:pPr>
            <w:r>
              <w:rPr>
                <w:color w:val="00548B"/>
              </w:rPr>
              <w:t></w:t>
            </w:r>
          </w:p>
        </w:tc>
        <w:tc>
          <w:tcPr>
            <w:tcW w:w="101" w:type="dxa"/>
            <w:tcBorders/>
            <w:shd w:fill="auto" w:val="clear"/>
          </w:tcPr>
          <w:p>
            <w:pPr>
              <w:pStyle w:val="TableContents"/>
              <w:spacing w:before="0" w:after="283"/>
              <w:rPr/>
            </w:pPr>
            <w:r>
              <w:rPr/>
              <w:t> </w:t>
            </w:r>
          </w:p>
        </w:tc>
        <w:tc>
          <w:tcPr>
            <w:tcW w:w="9393" w:type="dxa"/>
            <w:tcBorders/>
            <w:shd w:fill="auto" w:val="clear"/>
          </w:tcPr>
          <w:p>
            <w:pPr>
              <w:pStyle w:val="TableContents"/>
              <w:spacing w:before="0" w:after="0"/>
              <w:jc w:val="both"/>
              <w:rPr>
                <w:rFonts w:ascii="arial" w:hAnsi="arial"/>
                <w:sz w:val="18"/>
              </w:rPr>
            </w:pPr>
            <w:r>
              <w:rPr>
                <w:rFonts w:ascii="arial" w:hAnsi="arial"/>
                <w:sz w:val="18"/>
              </w:rPr>
              <w:t xml:space="preserve">Maintain majority weighting on performance units but temporarily reduce weighting from 70% to 60% of the target award value, to better reflect market competitive practices. Huron remains committed to having the majority of the NEOs long-term incentive award delivered in performance-based elements but, for 2021, acknowledges the criticality of delivering a pay opportunity more consistent with our competitive market for talent in retaining our executives. </w:t>
            </w:r>
          </w:p>
        </w:tc>
      </w:tr>
    </w:tbl>
    <w:tbl>
      <w:tblPr>
        <w:tblW w:w="5000" w:type="pct"/>
        <w:jc w:val="left"/>
        <w:tblInd w:w="0" w:type="dxa"/>
        <w:tblCellMar>
          <w:top w:w="0" w:type="dxa"/>
          <w:left w:w="0" w:type="dxa"/>
          <w:bottom w:w="0" w:type="dxa"/>
          <w:right w:w="0" w:type="dxa"/>
        </w:tblCellMar>
      </w:tblPr>
      <w:tblGrid>
        <w:gridCol w:w="508"/>
        <w:gridCol w:w="205"/>
        <w:gridCol w:w="102"/>
        <w:gridCol w:w="9390"/>
      </w:tblGrid>
      <w:tr>
        <w:trPr/>
        <w:tc>
          <w:tcPr>
            <w:tcW w:w="508" w:type="dxa"/>
            <w:tcBorders/>
            <w:shd w:fill="auto" w:val="clear"/>
            <w:vAlign w:val="center"/>
          </w:tcPr>
          <w:p>
            <w:pPr>
              <w:pStyle w:val="TableContents"/>
              <w:spacing w:before="0" w:after="283"/>
              <w:rPr/>
            </w:pPr>
            <w:r>
              <w:rPr/>
              <w:t> </w:t>
            </w:r>
          </w:p>
        </w:tc>
        <w:tc>
          <w:tcPr>
            <w:tcW w:w="205" w:type="dxa"/>
            <w:tcBorders/>
            <w:shd w:fill="auto" w:val="clear"/>
          </w:tcPr>
          <w:p>
            <w:pPr>
              <w:pStyle w:val="TableContents"/>
              <w:spacing w:before="0" w:after="283"/>
              <w:jc w:val="left"/>
              <w:rPr>
                <w:color w:val="00548B"/>
              </w:rPr>
            </w:pPr>
            <w:r>
              <w:rPr>
                <w:color w:val="00548B"/>
              </w:rPr>
              <w:t></w:t>
            </w:r>
          </w:p>
        </w:tc>
        <w:tc>
          <w:tcPr>
            <w:tcW w:w="102" w:type="dxa"/>
            <w:tcBorders/>
            <w:shd w:fill="auto" w:val="clear"/>
          </w:tcPr>
          <w:p>
            <w:pPr>
              <w:pStyle w:val="TableContents"/>
              <w:spacing w:before="0" w:after="283"/>
              <w:rPr/>
            </w:pPr>
            <w:r>
              <w:rPr/>
              <w:t> </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Retain three-year cumulative performance cycle and three-year cliff vesting, but set annual goals for both Revenue Growth and Adjusted Diluted EPS which balances the focus on long-term profitable growth with the continued uncertainty resulting from the pandemic. Final payout will be determined at the end of the full three-year period and incorporate our performance against Committee-approved three-year Revenue growth goals. As in prior years, we cannot disclose these goals at this time due to their material, non-public nature.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0205" w:type="dxa"/>
            <w:tcBorders>
              <w:top w:val="single" w:sz="2" w:space="0" w:color="00548B"/>
              <w:left w:val="single" w:sz="2" w:space="0" w:color="00548B"/>
              <w:right w:val="single" w:sz="2" w:space="0" w:color="00548B"/>
            </w:tcBorders>
            <w:shd w:fill="00548B" w:val="clear"/>
            <w:tcMar>
              <w:top w:w="28" w:type="dxa"/>
              <w:left w:w="160" w:type="dxa"/>
              <w:right w:w="28" w:type="dxa"/>
            </w:tcMar>
            <w:vAlign w:val="center"/>
          </w:tcPr>
          <w:p>
            <w:pPr>
              <w:pStyle w:val="TableContents"/>
              <w:spacing w:before="0" w:after="283"/>
              <w:rPr/>
            </w:pPr>
            <w:r>
              <w:rPr/>
              <w:t> </w:t>
            </w:r>
          </w:p>
        </w:tc>
      </w:tr>
      <w:tr>
        <w:trPr/>
        <w:tc>
          <w:tcPr>
            <w:tcW w:w="10205" w:type="dxa"/>
            <w:tcBorders>
              <w:left w:val="single" w:sz="2" w:space="0" w:color="00548B"/>
              <w:bottom w:val="single" w:sz="2" w:space="0" w:color="00548B"/>
              <w:right w:val="single" w:sz="2" w:space="0" w:color="00548B"/>
            </w:tcBorders>
            <w:shd w:fill="00548B" w:val="clear"/>
            <w:tcMar>
              <w:left w:w="160" w:type="dxa"/>
              <w:bottom w:w="28" w:type="dxa"/>
              <w:right w:w="40" w:type="dxa"/>
            </w:tcMar>
            <w:vAlign w:val="center"/>
          </w:tcPr>
          <w:p>
            <w:pPr>
              <w:pStyle w:val="TableContents"/>
              <w:spacing w:before="0" w:after="283"/>
              <w:jc w:val="center"/>
              <w:rPr>
                <w:b/>
                <w:color w:val="D8D8D8"/>
              </w:rPr>
            </w:pPr>
            <w:r>
              <w:rPr>
                <w:b/>
                <w:color w:val="D8D8D8"/>
              </w:rPr>
              <w:t>SECTION 4 - ADDITIONAL INFORMATION ON OUR COMPENSATION PROGRAMS</w:t>
            </w:r>
          </w:p>
        </w:tc>
      </w:tr>
    </w:tbl>
    <w:p>
      <w:pPr>
        <w:pStyle w:val="TextBody"/>
        <w:spacing w:before="80" w:after="0"/>
        <w:jc w:val="both"/>
        <w:rPr>
          <w:rFonts w:ascii="arial" w:hAnsi="arial"/>
          <w:b/>
          <w:i/>
          <w:color w:val="00548B"/>
          <w:sz w:val="18"/>
        </w:rPr>
      </w:pPr>
      <w:r>
        <w:rPr>
          <w:rFonts w:ascii="arial" w:hAnsi="arial"/>
          <w:b/>
          <w:i/>
          <w:color w:val="00548B"/>
          <w:sz w:val="18"/>
        </w:rPr>
        <w:t xml:space="preserve">Competitive Market Data </w:t>
      </w:r>
    </w:p>
    <w:p>
      <w:pPr>
        <w:pStyle w:val="TextBody"/>
        <w:spacing w:before="0" w:after="0"/>
        <w:jc w:val="both"/>
        <w:rPr>
          <w:rFonts w:ascii="arial" w:hAnsi="arial"/>
          <w:sz w:val="18"/>
        </w:rPr>
      </w:pPr>
      <w:r>
        <w:rPr>
          <w:rFonts w:ascii="arial" w:hAnsi="arial"/>
          <w:sz w:val="18"/>
        </w:rPr>
        <w:t xml:space="preserve">The Committee reviews external market data to inform its decisions about NEO target pay opportunities. When determining NEO pay for 2020, the Committee relied on two market data sets: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b/>
                <w:i/>
              </w:rPr>
            </w:pPr>
            <w:r>
              <w:rPr>
                <w:b/>
                <w:i/>
              </w:rPr>
              <w:t>1.</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Publicly reported compensation data from a Committee-approved peer group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b/>
                <w:i/>
              </w:rPr>
            </w:pPr>
            <w:r>
              <w:rPr>
                <w:b/>
                <w:i/>
              </w:rPr>
              <w:t>2.</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Survey data for similarly sized companies </w:t>
            </w:r>
          </w:p>
        </w:tc>
      </w:tr>
    </w:tbl>
    <w:p>
      <w:pPr>
        <w:pStyle w:val="TextBody"/>
        <w:spacing w:before="200" w:after="0"/>
        <w:jc w:val="both"/>
        <w:rPr>
          <w:rFonts w:ascii="arial" w:hAnsi="arial"/>
          <w:sz w:val="18"/>
        </w:rPr>
      </w:pPr>
      <w:r>
        <w:rPr>
          <w:rFonts w:ascii="arial" w:hAnsi="arial"/>
          <w:sz w:val="18"/>
        </w:rPr>
        <w:t xml:space="preserve">In October 2019, the Committee approved the following peer group companies: </w:t>
      </w:r>
    </w:p>
    <w:p>
      <w:pPr>
        <w:pStyle w:val="TextBody"/>
        <w:spacing w:before="0" w:after="0"/>
        <w:jc w:val="left"/>
        <w:rPr/>
      </w:pPr>
      <w:r>
        <w:rPr/>
        <w:t> </w:t>
      </w:r>
    </w:p>
    <w:tbl>
      <w:tblPr>
        <w:tblW w:w="4700" w:type="pct"/>
        <w:jc w:val="center"/>
        <w:tblInd w:w="0" w:type="dxa"/>
        <w:tblCellMar>
          <w:top w:w="0" w:type="dxa"/>
          <w:left w:w="0" w:type="dxa"/>
          <w:bottom w:w="0" w:type="dxa"/>
          <w:right w:w="0" w:type="dxa"/>
        </w:tblCellMar>
      </w:tblPr>
      <w:tblGrid>
        <w:gridCol w:w="4961"/>
        <w:gridCol w:w="121"/>
        <w:gridCol w:w="4510"/>
      </w:tblGrid>
      <w:tr>
        <w:trPr/>
        <w:tc>
          <w:tcPr>
            <w:tcW w:w="4961" w:type="dxa"/>
            <w:tcBorders/>
            <w:shd w:fill="auto" w:val="clear"/>
            <w:vAlign w:val="center"/>
          </w:tcPr>
          <w:p>
            <w:pPr>
              <w:pStyle w:val="TableContents"/>
              <w:spacing w:before="0" w:after="283"/>
              <w:rPr>
                <w:sz w:val="4"/>
                <w:szCs w:val="4"/>
              </w:rPr>
            </w:pPr>
            <w:r>
              <w:rPr>
                <w:sz w:val="4"/>
                <w:szCs w:val="4"/>
              </w:rPr>
            </w:r>
          </w:p>
        </w:tc>
        <w:tc>
          <w:tcPr>
            <w:tcW w:w="121" w:type="dxa"/>
            <w:tcBorders/>
            <w:shd w:fill="auto" w:val="clear"/>
            <w:vAlign w:val="bottom"/>
          </w:tcPr>
          <w:p>
            <w:pPr>
              <w:pStyle w:val="TableContents"/>
              <w:spacing w:before="0" w:after="283"/>
              <w:rPr>
                <w:sz w:val="4"/>
                <w:szCs w:val="4"/>
              </w:rPr>
            </w:pPr>
            <w:r>
              <w:rPr>
                <w:sz w:val="4"/>
                <w:szCs w:val="4"/>
              </w:rPr>
            </w:r>
          </w:p>
        </w:tc>
        <w:tc>
          <w:tcPr>
            <w:tcW w:w="4510" w:type="dxa"/>
            <w:tcBorders/>
            <w:shd w:fill="auto" w:val="clear"/>
            <w:vAlign w:val="center"/>
          </w:tcPr>
          <w:p>
            <w:pPr>
              <w:pStyle w:val="TableContents"/>
              <w:spacing w:before="0" w:after="283"/>
              <w:rPr>
                <w:sz w:val="4"/>
                <w:szCs w:val="4"/>
              </w:rPr>
            </w:pPr>
            <w:r>
              <w:rPr>
                <w:sz w:val="4"/>
                <w:szCs w:val="4"/>
              </w:rPr>
            </w:r>
          </w:p>
        </w:tc>
      </w:tr>
      <w:tr>
        <w:trPr/>
        <w:tc>
          <w:tcPr>
            <w:tcW w:w="4961" w:type="dxa"/>
            <w:tcBorders/>
            <w:shd w:fill="auto" w:val="clear"/>
          </w:tcPr>
          <w:p>
            <w:pPr>
              <w:pStyle w:val="TableContents"/>
              <w:spacing w:before="0" w:after="0"/>
              <w:rPr>
                <w:rFonts w:ascii="arial" w:hAnsi="arial"/>
                <w:sz w:val="18"/>
              </w:rPr>
            </w:pPr>
            <w:r>
              <w:rPr>
                <w:rFonts w:ascii="arial" w:hAnsi="arial"/>
                <w:sz w:val="18"/>
              </w:rPr>
              <w:t>CBIZ, Inc.</w:t>
            </w:r>
          </w:p>
          <w:p>
            <w:pPr>
              <w:pStyle w:val="TableContents"/>
              <w:spacing w:before="0" w:after="20"/>
              <w:rPr/>
            </w:pPr>
            <w:r>
              <w:rPr/>
              <w:t> </w:t>
            </w:r>
          </w:p>
        </w:tc>
        <w:tc>
          <w:tcPr>
            <w:tcW w:w="121" w:type="dxa"/>
            <w:tcBorders/>
            <w:shd w:fill="auto" w:val="clear"/>
            <w:vAlign w:val="bottom"/>
          </w:tcPr>
          <w:p>
            <w:pPr>
              <w:pStyle w:val="TableContents"/>
              <w:spacing w:before="0" w:after="283"/>
              <w:rPr/>
            </w:pPr>
            <w:r>
              <w:rPr/>
              <w:t>  </w:t>
            </w:r>
          </w:p>
        </w:tc>
        <w:tc>
          <w:tcPr>
            <w:tcW w:w="4510" w:type="dxa"/>
            <w:tcBorders/>
            <w:shd w:fill="auto" w:val="clear"/>
          </w:tcPr>
          <w:p>
            <w:pPr>
              <w:pStyle w:val="TableContents"/>
              <w:spacing w:before="0" w:after="0"/>
              <w:rPr>
                <w:rFonts w:ascii="arial" w:hAnsi="arial"/>
                <w:sz w:val="18"/>
              </w:rPr>
            </w:pPr>
            <w:r>
              <w:rPr>
                <w:rFonts w:ascii="arial" w:hAnsi="arial"/>
                <w:sz w:val="18"/>
              </w:rPr>
              <w:t>Korn Ferry</w:t>
            </w:r>
          </w:p>
          <w:p>
            <w:pPr>
              <w:pStyle w:val="TableContents"/>
              <w:spacing w:before="0" w:after="20"/>
              <w:rPr/>
            </w:pPr>
            <w:r>
              <w:rPr/>
              <w:t> </w:t>
            </w:r>
          </w:p>
        </w:tc>
      </w:tr>
      <w:tr>
        <w:trPr/>
        <w:tc>
          <w:tcPr>
            <w:tcW w:w="4961" w:type="dxa"/>
            <w:tcBorders/>
            <w:shd w:fill="auto" w:val="clear"/>
          </w:tcPr>
          <w:p>
            <w:pPr>
              <w:pStyle w:val="TableContents"/>
              <w:spacing w:before="0" w:after="0"/>
              <w:rPr>
                <w:rFonts w:ascii="arial" w:hAnsi="arial"/>
                <w:sz w:val="18"/>
              </w:rPr>
            </w:pPr>
            <w:r>
              <w:rPr>
                <w:rFonts w:ascii="arial" w:hAnsi="arial"/>
                <w:sz w:val="18"/>
              </w:rPr>
              <w:t>CRA International, Inc.</w:t>
            </w:r>
          </w:p>
          <w:p>
            <w:pPr>
              <w:pStyle w:val="TableContents"/>
              <w:spacing w:before="0" w:after="20"/>
              <w:rPr/>
            </w:pPr>
            <w:r>
              <w:rPr/>
              <w:t> </w:t>
            </w:r>
          </w:p>
        </w:tc>
        <w:tc>
          <w:tcPr>
            <w:tcW w:w="121" w:type="dxa"/>
            <w:tcBorders/>
            <w:shd w:fill="auto" w:val="clear"/>
            <w:vAlign w:val="bottom"/>
          </w:tcPr>
          <w:p>
            <w:pPr>
              <w:pStyle w:val="TableContents"/>
              <w:spacing w:before="0" w:after="283"/>
              <w:rPr/>
            </w:pPr>
            <w:r>
              <w:rPr/>
              <w:t>  </w:t>
            </w:r>
          </w:p>
        </w:tc>
        <w:tc>
          <w:tcPr>
            <w:tcW w:w="4510" w:type="dxa"/>
            <w:tcBorders/>
            <w:shd w:fill="auto" w:val="clear"/>
          </w:tcPr>
          <w:p>
            <w:pPr>
              <w:pStyle w:val="TableContents"/>
              <w:spacing w:before="0" w:after="0"/>
              <w:rPr>
                <w:rFonts w:ascii="arial" w:hAnsi="arial"/>
                <w:sz w:val="18"/>
              </w:rPr>
            </w:pPr>
            <w:r>
              <w:rPr>
                <w:rFonts w:ascii="arial" w:hAnsi="arial"/>
                <w:sz w:val="18"/>
              </w:rPr>
              <w:t>LiveRamp Holdings, Inc.</w:t>
            </w:r>
          </w:p>
          <w:p>
            <w:pPr>
              <w:pStyle w:val="TableContents"/>
              <w:spacing w:before="0" w:after="20"/>
              <w:rPr/>
            </w:pPr>
            <w:r>
              <w:rPr/>
              <w:t> </w:t>
            </w:r>
          </w:p>
        </w:tc>
      </w:tr>
      <w:tr>
        <w:trPr/>
        <w:tc>
          <w:tcPr>
            <w:tcW w:w="4961" w:type="dxa"/>
            <w:tcBorders/>
            <w:shd w:fill="auto" w:val="clear"/>
          </w:tcPr>
          <w:p>
            <w:pPr>
              <w:pStyle w:val="TableContents"/>
              <w:spacing w:before="0" w:after="0"/>
              <w:rPr>
                <w:rFonts w:ascii="arial" w:hAnsi="arial"/>
                <w:sz w:val="18"/>
              </w:rPr>
            </w:pPr>
            <w:r>
              <w:rPr>
                <w:rFonts w:ascii="arial" w:hAnsi="arial"/>
                <w:sz w:val="18"/>
              </w:rPr>
              <w:t>Exponent, Inc.</w:t>
            </w:r>
          </w:p>
          <w:p>
            <w:pPr>
              <w:pStyle w:val="TableContents"/>
              <w:spacing w:before="0" w:after="20"/>
              <w:rPr/>
            </w:pPr>
            <w:r>
              <w:rPr/>
              <w:t> </w:t>
            </w:r>
          </w:p>
        </w:tc>
        <w:tc>
          <w:tcPr>
            <w:tcW w:w="121" w:type="dxa"/>
            <w:tcBorders/>
            <w:shd w:fill="auto" w:val="clear"/>
            <w:vAlign w:val="bottom"/>
          </w:tcPr>
          <w:p>
            <w:pPr>
              <w:pStyle w:val="TableContents"/>
              <w:spacing w:before="0" w:after="283"/>
              <w:rPr/>
            </w:pPr>
            <w:r>
              <w:rPr/>
              <w:t>  </w:t>
            </w:r>
          </w:p>
        </w:tc>
        <w:tc>
          <w:tcPr>
            <w:tcW w:w="4510" w:type="dxa"/>
            <w:tcBorders/>
            <w:shd w:fill="auto" w:val="clear"/>
          </w:tcPr>
          <w:p>
            <w:pPr>
              <w:pStyle w:val="TableContents"/>
              <w:spacing w:before="0" w:after="0"/>
              <w:rPr>
                <w:rFonts w:ascii="arial" w:hAnsi="arial"/>
                <w:sz w:val="18"/>
              </w:rPr>
            </w:pPr>
            <w:r>
              <w:rPr>
                <w:rFonts w:ascii="arial" w:hAnsi="arial"/>
                <w:sz w:val="18"/>
              </w:rPr>
              <w:t>Navigant Consulting, Inc. *</w:t>
            </w:r>
          </w:p>
          <w:p>
            <w:pPr>
              <w:pStyle w:val="TableContents"/>
              <w:spacing w:before="0" w:after="20"/>
              <w:rPr/>
            </w:pPr>
            <w:r>
              <w:rPr/>
              <w:t> </w:t>
            </w:r>
          </w:p>
        </w:tc>
      </w:tr>
      <w:tr>
        <w:trPr/>
        <w:tc>
          <w:tcPr>
            <w:tcW w:w="4961" w:type="dxa"/>
            <w:tcBorders/>
            <w:shd w:fill="auto" w:val="clear"/>
          </w:tcPr>
          <w:p>
            <w:pPr>
              <w:pStyle w:val="TableContents"/>
              <w:spacing w:before="0" w:after="0"/>
              <w:rPr>
                <w:rFonts w:ascii="arial" w:hAnsi="arial"/>
                <w:sz w:val="18"/>
              </w:rPr>
            </w:pPr>
            <w:r>
              <w:rPr>
                <w:rFonts w:ascii="arial" w:hAnsi="arial"/>
                <w:sz w:val="18"/>
              </w:rPr>
              <w:t>FTI Consulting Inc.</w:t>
            </w:r>
          </w:p>
          <w:p>
            <w:pPr>
              <w:pStyle w:val="TableContents"/>
              <w:spacing w:before="0" w:after="20"/>
              <w:rPr/>
            </w:pPr>
            <w:r>
              <w:rPr/>
              <w:t> </w:t>
            </w:r>
          </w:p>
        </w:tc>
        <w:tc>
          <w:tcPr>
            <w:tcW w:w="121" w:type="dxa"/>
            <w:tcBorders/>
            <w:shd w:fill="auto" w:val="clear"/>
            <w:vAlign w:val="bottom"/>
          </w:tcPr>
          <w:p>
            <w:pPr>
              <w:pStyle w:val="TableContents"/>
              <w:spacing w:before="0" w:after="283"/>
              <w:rPr/>
            </w:pPr>
            <w:r>
              <w:rPr/>
              <w:t>  </w:t>
            </w:r>
          </w:p>
        </w:tc>
        <w:tc>
          <w:tcPr>
            <w:tcW w:w="4510" w:type="dxa"/>
            <w:tcBorders/>
            <w:shd w:fill="auto" w:val="clear"/>
          </w:tcPr>
          <w:p>
            <w:pPr>
              <w:pStyle w:val="TableContents"/>
              <w:spacing w:before="0" w:after="0"/>
              <w:rPr>
                <w:rFonts w:ascii="arial" w:hAnsi="arial"/>
                <w:sz w:val="18"/>
              </w:rPr>
            </w:pPr>
            <w:r>
              <w:rPr>
                <w:rFonts w:ascii="arial" w:hAnsi="arial"/>
                <w:sz w:val="18"/>
              </w:rPr>
              <w:t>NextGen Healthcare, Inc.</w:t>
            </w:r>
          </w:p>
          <w:p>
            <w:pPr>
              <w:pStyle w:val="TableContents"/>
              <w:spacing w:before="0" w:after="20"/>
              <w:rPr/>
            </w:pPr>
            <w:r>
              <w:rPr/>
              <w:t> </w:t>
            </w:r>
          </w:p>
        </w:tc>
      </w:tr>
      <w:tr>
        <w:trPr/>
        <w:tc>
          <w:tcPr>
            <w:tcW w:w="4961" w:type="dxa"/>
            <w:tcBorders/>
            <w:shd w:fill="auto" w:val="clear"/>
          </w:tcPr>
          <w:p>
            <w:pPr>
              <w:pStyle w:val="TableContents"/>
              <w:spacing w:before="0" w:after="0"/>
              <w:rPr>
                <w:rFonts w:ascii="arial" w:hAnsi="arial"/>
                <w:sz w:val="18"/>
              </w:rPr>
            </w:pPr>
            <w:r>
              <w:rPr>
                <w:rFonts w:ascii="arial" w:hAnsi="arial"/>
                <w:sz w:val="18"/>
              </w:rPr>
              <w:t>Heidrick &amp; Struggles International, Inc.</w:t>
            </w:r>
          </w:p>
          <w:p>
            <w:pPr>
              <w:pStyle w:val="TableContents"/>
              <w:spacing w:before="0" w:after="20"/>
              <w:rPr/>
            </w:pPr>
            <w:r>
              <w:rPr/>
              <w:t> </w:t>
            </w:r>
          </w:p>
        </w:tc>
        <w:tc>
          <w:tcPr>
            <w:tcW w:w="121" w:type="dxa"/>
            <w:tcBorders/>
            <w:shd w:fill="auto" w:val="clear"/>
            <w:vAlign w:val="bottom"/>
          </w:tcPr>
          <w:p>
            <w:pPr>
              <w:pStyle w:val="TableContents"/>
              <w:spacing w:before="0" w:after="283"/>
              <w:rPr/>
            </w:pPr>
            <w:r>
              <w:rPr/>
              <w:t>  </w:t>
            </w:r>
          </w:p>
        </w:tc>
        <w:tc>
          <w:tcPr>
            <w:tcW w:w="4510" w:type="dxa"/>
            <w:tcBorders/>
            <w:shd w:fill="auto" w:val="clear"/>
          </w:tcPr>
          <w:p>
            <w:pPr>
              <w:pStyle w:val="TableContents"/>
              <w:spacing w:before="0" w:after="0"/>
              <w:rPr>
                <w:rFonts w:ascii="arial" w:hAnsi="arial"/>
                <w:sz w:val="18"/>
              </w:rPr>
            </w:pPr>
            <w:r>
              <w:rPr>
                <w:rFonts w:ascii="arial" w:hAnsi="arial"/>
                <w:sz w:val="18"/>
              </w:rPr>
              <w:t>Premier, Inc.</w:t>
            </w:r>
          </w:p>
          <w:p>
            <w:pPr>
              <w:pStyle w:val="TableContents"/>
              <w:spacing w:before="0" w:after="20"/>
              <w:rPr/>
            </w:pPr>
            <w:r>
              <w:rPr/>
              <w:t> </w:t>
            </w:r>
          </w:p>
        </w:tc>
      </w:tr>
      <w:tr>
        <w:trPr/>
        <w:tc>
          <w:tcPr>
            <w:tcW w:w="4961" w:type="dxa"/>
            <w:tcBorders/>
            <w:shd w:fill="auto" w:val="clear"/>
          </w:tcPr>
          <w:p>
            <w:pPr>
              <w:pStyle w:val="TableContents"/>
              <w:spacing w:before="0" w:after="0"/>
              <w:rPr>
                <w:rFonts w:ascii="arial" w:hAnsi="arial"/>
                <w:sz w:val="18"/>
              </w:rPr>
            </w:pPr>
            <w:r>
              <w:rPr>
                <w:rFonts w:ascii="arial" w:hAnsi="arial"/>
                <w:sz w:val="18"/>
              </w:rPr>
              <w:t>HMS Holdings Corp.</w:t>
            </w:r>
          </w:p>
          <w:p>
            <w:pPr>
              <w:pStyle w:val="TableContents"/>
              <w:spacing w:before="0" w:after="20"/>
              <w:rPr/>
            </w:pPr>
            <w:r>
              <w:rPr/>
              <w:t> </w:t>
            </w:r>
          </w:p>
        </w:tc>
        <w:tc>
          <w:tcPr>
            <w:tcW w:w="121" w:type="dxa"/>
            <w:tcBorders/>
            <w:shd w:fill="auto" w:val="clear"/>
            <w:vAlign w:val="bottom"/>
          </w:tcPr>
          <w:p>
            <w:pPr>
              <w:pStyle w:val="TableContents"/>
              <w:spacing w:before="0" w:after="283"/>
              <w:rPr/>
            </w:pPr>
            <w:r>
              <w:rPr/>
              <w:t>  </w:t>
            </w:r>
          </w:p>
        </w:tc>
        <w:tc>
          <w:tcPr>
            <w:tcW w:w="4510" w:type="dxa"/>
            <w:tcBorders/>
            <w:shd w:fill="auto" w:val="clear"/>
          </w:tcPr>
          <w:p>
            <w:pPr>
              <w:pStyle w:val="TableContents"/>
              <w:spacing w:before="0" w:after="0"/>
              <w:rPr>
                <w:rFonts w:ascii="arial" w:hAnsi="arial"/>
                <w:sz w:val="18"/>
              </w:rPr>
            </w:pPr>
            <w:r>
              <w:rPr>
                <w:rFonts w:ascii="arial" w:hAnsi="arial"/>
                <w:sz w:val="18"/>
              </w:rPr>
              <w:t>Resources Connection, Inc.</w:t>
            </w:r>
          </w:p>
          <w:p>
            <w:pPr>
              <w:pStyle w:val="TableContents"/>
              <w:spacing w:before="0" w:after="20"/>
              <w:rPr/>
            </w:pPr>
            <w:r>
              <w:rPr/>
              <w:t> </w:t>
            </w:r>
          </w:p>
        </w:tc>
      </w:tr>
      <w:tr>
        <w:trPr/>
        <w:tc>
          <w:tcPr>
            <w:tcW w:w="4961" w:type="dxa"/>
            <w:tcBorders/>
            <w:shd w:fill="auto" w:val="clear"/>
          </w:tcPr>
          <w:p>
            <w:pPr>
              <w:pStyle w:val="TableContents"/>
              <w:spacing w:before="0" w:after="0"/>
              <w:rPr>
                <w:rFonts w:ascii="arial" w:hAnsi="arial"/>
                <w:sz w:val="18"/>
              </w:rPr>
            </w:pPr>
            <w:r>
              <w:rPr>
                <w:rFonts w:ascii="arial" w:hAnsi="arial"/>
                <w:sz w:val="18"/>
              </w:rPr>
              <w:t>ICF International, Inc.</w:t>
            </w:r>
          </w:p>
          <w:p>
            <w:pPr>
              <w:pStyle w:val="TableContents"/>
              <w:spacing w:before="0" w:after="20"/>
              <w:rPr/>
            </w:pPr>
            <w:r>
              <w:rPr/>
              <w:t> </w:t>
            </w:r>
          </w:p>
        </w:tc>
        <w:tc>
          <w:tcPr>
            <w:tcW w:w="121" w:type="dxa"/>
            <w:tcBorders/>
            <w:shd w:fill="auto" w:val="clear"/>
            <w:vAlign w:val="bottom"/>
          </w:tcPr>
          <w:p>
            <w:pPr>
              <w:pStyle w:val="TableContents"/>
              <w:spacing w:before="0" w:after="283"/>
              <w:rPr/>
            </w:pPr>
            <w:r>
              <w:rPr/>
              <w:t>  </w:t>
            </w:r>
          </w:p>
        </w:tc>
        <w:tc>
          <w:tcPr>
            <w:tcW w:w="4510" w:type="dxa"/>
            <w:tcBorders/>
            <w:shd w:fill="auto" w:val="clear"/>
          </w:tcPr>
          <w:p>
            <w:pPr>
              <w:pStyle w:val="TableContents"/>
              <w:spacing w:before="0" w:after="283"/>
              <w:rPr>
                <w:sz w:val="4"/>
                <w:szCs w:val="4"/>
              </w:rPr>
            </w:pPr>
            <w:r>
              <w:rPr>
                <w:sz w:val="4"/>
                <w:szCs w:val="4"/>
              </w:rPr>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305"/>
        <w:gridCol w:w="203"/>
        <w:gridCol w:w="9697"/>
      </w:tblGrid>
      <w:tr>
        <w:trPr/>
        <w:tc>
          <w:tcPr>
            <w:tcW w:w="305"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pPr>
            <w:r>
              <w:rPr/>
              <w:t>*</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Navigant was acquired in October 2019, but had filed a proxy in 2019 that provided NEO pay data. athenahealth and Dun &amp; Bradstreet, which were in the peer group prior to October 1, 2019, were each acquired and taken private in Feb. 2019  since no 2019 proxies were published, compensation data was no longer available. LiveRamp Holdings was previously named Acxiom Corporation. </w:t>
            </w:r>
          </w:p>
        </w:tc>
      </w:tr>
    </w:tbl>
    <w:p>
      <w:pPr>
        <w:pStyle w:val="TextBody"/>
        <w:spacing w:before="200" w:after="0"/>
        <w:jc w:val="both"/>
        <w:rPr>
          <w:rFonts w:ascii="arial" w:hAnsi="arial"/>
          <w:sz w:val="18"/>
        </w:rPr>
      </w:pPr>
      <w:r>
        <w:rPr>
          <w:rFonts w:ascii="arial" w:hAnsi="arial"/>
          <w:sz w:val="18"/>
        </w:rPr>
        <w:t xml:space="preserve">The peer companies represent business-to-business service providers in the Research and Consulting Services, Human Resource and Employment Services, Health Care Technology, Health Care Services, or IT Consulting and Other Services industry sectors with: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213"/>
        <w:gridCol w:w="104"/>
        <w:gridCol w:w="9379"/>
      </w:tblGrid>
      <w:tr>
        <w:trPr/>
        <w:tc>
          <w:tcPr>
            <w:tcW w:w="509" w:type="dxa"/>
            <w:tcBorders/>
            <w:shd w:fill="auto" w:val="clear"/>
            <w:vAlign w:val="center"/>
          </w:tcPr>
          <w:p>
            <w:pPr>
              <w:pStyle w:val="TableContents"/>
              <w:spacing w:before="0" w:after="283"/>
              <w:rPr/>
            </w:pPr>
            <w:r>
              <w:rPr/>
              <w:t> </w:t>
            </w:r>
          </w:p>
        </w:tc>
        <w:tc>
          <w:tcPr>
            <w:tcW w:w="213" w:type="dxa"/>
            <w:tcBorders/>
            <w:shd w:fill="auto" w:val="clear"/>
          </w:tcPr>
          <w:p>
            <w:pPr>
              <w:pStyle w:val="TableContents"/>
              <w:spacing w:before="0" w:after="283"/>
              <w:jc w:val="left"/>
              <w:rPr>
                <w:color w:val="00548B"/>
              </w:rPr>
            </w:pPr>
            <w:r>
              <w:rPr>
                <w:color w:val="00548B"/>
              </w:rPr>
              <w:t></w:t>
            </w:r>
          </w:p>
        </w:tc>
        <w:tc>
          <w:tcPr>
            <w:tcW w:w="104" w:type="dxa"/>
            <w:tcBorders/>
            <w:shd w:fill="auto" w:val="clear"/>
          </w:tcPr>
          <w:p>
            <w:pPr>
              <w:pStyle w:val="TableContents"/>
              <w:spacing w:before="0" w:after="283"/>
              <w:rPr/>
            </w:pPr>
            <w:r>
              <w:rPr/>
              <w:t> </w:t>
            </w:r>
          </w:p>
        </w:tc>
        <w:tc>
          <w:tcPr>
            <w:tcW w:w="9379" w:type="dxa"/>
            <w:tcBorders/>
            <w:shd w:fill="auto" w:val="clear"/>
          </w:tcPr>
          <w:p>
            <w:pPr>
              <w:pStyle w:val="TableContents"/>
              <w:spacing w:before="0" w:after="0"/>
              <w:jc w:val="both"/>
              <w:rPr>
                <w:rFonts w:ascii="arial" w:hAnsi="arial"/>
                <w:sz w:val="18"/>
              </w:rPr>
            </w:pPr>
            <w:r>
              <w:rPr>
                <w:rFonts w:ascii="arial" w:hAnsi="arial"/>
                <w:sz w:val="18"/>
              </w:rPr>
              <w:t xml:space="preserve">Revenues from 0.4x to 2.5x Hurons revenues and </w:t>
            </w:r>
          </w:p>
        </w:tc>
      </w:tr>
    </w:tbl>
    <w:tbl>
      <w:tblPr>
        <w:tblW w:w="5000" w:type="pct"/>
        <w:jc w:val="left"/>
        <w:tblInd w:w="0" w:type="dxa"/>
        <w:tblCellMar>
          <w:top w:w="0" w:type="dxa"/>
          <w:left w:w="0" w:type="dxa"/>
          <w:bottom w:w="0" w:type="dxa"/>
          <w:right w:w="0" w:type="dxa"/>
        </w:tblCellMar>
      </w:tblPr>
      <w:tblGrid>
        <w:gridCol w:w="510"/>
        <w:gridCol w:w="203"/>
        <w:gridCol w:w="101"/>
        <w:gridCol w:w="9391"/>
      </w:tblGrid>
      <w:tr>
        <w:trPr/>
        <w:tc>
          <w:tcPr>
            <w:tcW w:w="510" w:type="dxa"/>
            <w:tcBorders/>
            <w:shd w:fill="auto" w:val="clear"/>
            <w:vAlign w:val="center"/>
          </w:tcPr>
          <w:p>
            <w:pPr>
              <w:pStyle w:val="TableContents"/>
              <w:spacing w:before="0" w:after="283"/>
              <w:rPr/>
            </w:pPr>
            <w:r>
              <w:rPr/>
              <w:t> </w:t>
            </w:r>
          </w:p>
        </w:tc>
        <w:tc>
          <w:tcPr>
            <w:tcW w:w="203" w:type="dxa"/>
            <w:tcBorders/>
            <w:shd w:fill="auto" w:val="clear"/>
          </w:tcPr>
          <w:p>
            <w:pPr>
              <w:pStyle w:val="TableContents"/>
              <w:spacing w:before="0" w:after="283"/>
              <w:jc w:val="left"/>
              <w:rPr>
                <w:color w:val="00548B"/>
              </w:rPr>
            </w:pPr>
            <w:r>
              <w:rPr>
                <w:color w:val="00548B"/>
              </w:rPr>
              <w:t></w:t>
            </w:r>
          </w:p>
        </w:tc>
        <w:tc>
          <w:tcPr>
            <w:tcW w:w="101" w:type="dxa"/>
            <w:tcBorders/>
            <w:shd w:fill="auto" w:val="clear"/>
          </w:tcPr>
          <w:p>
            <w:pPr>
              <w:pStyle w:val="TableContents"/>
              <w:spacing w:before="0" w:after="283"/>
              <w:rPr/>
            </w:pPr>
            <w:r>
              <w:rPr/>
              <w:t> </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Market capitalization 0.1x to 5x Hurons market capitalization </w:t>
            </w:r>
          </w:p>
        </w:tc>
      </w:tr>
    </w:tbl>
    <w:p>
      <w:pPr>
        <w:pStyle w:val="TextBody"/>
        <w:spacing w:before="200" w:after="0"/>
        <w:jc w:val="both"/>
        <w:rPr>
          <w:rFonts w:ascii="arial" w:hAnsi="arial"/>
          <w:sz w:val="18"/>
        </w:rPr>
      </w:pPr>
      <w:r>
        <w:rPr>
          <w:rFonts w:ascii="arial" w:hAnsi="arial"/>
          <w:sz w:val="18"/>
        </w:rPr>
        <w:t xml:space="preserve">Survey data represents companies with revenues between $500 million and $1 billion from the Radford Global Technology Survey. </w:t>
      </w:r>
    </w:p>
    <w:p>
      <w:pPr>
        <w:pStyle w:val="TextBody"/>
        <w:spacing w:before="200" w:after="0"/>
        <w:jc w:val="both"/>
        <w:rPr>
          <w:rFonts w:ascii="arial" w:hAnsi="arial"/>
          <w:b/>
          <w:i/>
          <w:color w:val="00548B"/>
          <w:sz w:val="18"/>
        </w:rPr>
      </w:pPr>
      <w:r>
        <w:rPr>
          <w:rFonts w:ascii="arial" w:hAnsi="arial"/>
          <w:b/>
          <w:i/>
          <w:color w:val="00548B"/>
          <w:sz w:val="18"/>
        </w:rPr>
        <w:t xml:space="preserve">Employment Agreements </w:t>
      </w:r>
    </w:p>
    <w:p>
      <w:pPr>
        <w:pStyle w:val="TextBody"/>
        <w:spacing w:before="0" w:after="0"/>
        <w:jc w:val="both"/>
        <w:rPr>
          <w:rFonts w:ascii="arial" w:hAnsi="arial"/>
          <w:sz w:val="18"/>
        </w:rPr>
      </w:pPr>
      <w:r>
        <w:rPr>
          <w:rFonts w:ascii="arial" w:hAnsi="arial"/>
          <w:sz w:val="18"/>
        </w:rPr>
        <w:t xml:space="preserve">Huron has entered into agreements with each of the named executive officers that provide for benefits upon termination of employment under certain circumstances, including in connection with a change of control of the Company. Huron provides these benefits as a means of remaining competitive, retaining executive officers, focusing executive officers on shareholder interests when considering strategic alternatives, and providing income protection in the event of involuntary loss of employment. In general, these arrangements provide for severance benefits upon Hurons termination of the executives employment without cause or resignation by the executive for good reason (constructive termination). In the event of a change of control of Huron and if the executives employment is terminated without cause or he resigns for good reason, the executive will receive enhanced severance benefits. Huron provides these enhanced severance benefits only with a double trigger because the Company believes that the executive officers would be materially harmed in a change of control only if it results in reduced responsibilities or compensation or loss of employment for the executive. Huron employment agreements do not provide for any gross-ups. </w:t>
      </w:r>
    </w:p>
    <w:p>
      <w:pPr>
        <w:pStyle w:val="TextBody"/>
        <w:spacing w:before="200" w:after="0"/>
        <w:jc w:val="both"/>
        <w:rPr>
          <w:rFonts w:ascii="arial" w:hAnsi="arial"/>
          <w:sz w:val="18"/>
        </w:rPr>
      </w:pPr>
      <w:r>
        <w:rPr>
          <w:rFonts w:ascii="arial" w:hAnsi="arial"/>
          <w:sz w:val="18"/>
        </w:rPr>
        <w:t xml:space="preserve">More information on our use of employment agreements, including the estimated payments and benefits payable to the named executive officers, is provided under the Potential Payments Upon Termination or Change of Control section of this Proxy Statement.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i/>
          <w:color w:val="00548B"/>
          <w:sz w:val="18"/>
        </w:rPr>
      </w:pPr>
      <w:r>
        <w:rPr>
          <w:rFonts w:ascii="arial" w:hAnsi="arial"/>
          <w:b/>
          <w:i/>
          <w:color w:val="00548B"/>
          <w:sz w:val="18"/>
        </w:rPr>
        <w:t xml:space="preserve">Role of Compensation Committee </w:t>
      </w:r>
    </w:p>
    <w:p>
      <w:pPr>
        <w:pStyle w:val="TextBody"/>
        <w:spacing w:before="0" w:after="0"/>
        <w:jc w:val="both"/>
        <w:rPr>
          <w:rFonts w:ascii="arial" w:hAnsi="arial"/>
          <w:sz w:val="18"/>
        </w:rPr>
      </w:pPr>
      <w:r>
        <w:rPr>
          <w:rFonts w:ascii="arial" w:hAnsi="arial"/>
          <w:sz w:val="18"/>
        </w:rPr>
        <w:t xml:space="preserve">The Compensation Committee is primarily responsible for administering our executive compensation program in a manner consistent with our compensation philosophy and objectives. The principal functions of the Compensation Committee are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set salaries and annual and long-term incentive levels for the CEO and other named executive officers, so that the program is promoting shareholder value;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evaluate annually the performance of the CEO (in coordination with the full board) and review the CEO evaluations of the other named executive officers;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review and approve the design and competitiveness of our compensation plans, executive benefits and perquisites; </w:t>
            </w:r>
          </w:p>
        </w:tc>
      </w:tr>
    </w:tbl>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color w:val="00548B"/>
              </w:rPr>
            </w:pPr>
            <w:r>
              <w:rPr>
                <w:color w:val="00548B"/>
              </w:rPr>
              <w:t></w:t>
            </w:r>
          </w:p>
        </w:tc>
        <w:tc>
          <w:tcPr>
            <w:tcW w:w="9393" w:type="dxa"/>
            <w:tcBorders/>
            <w:shd w:fill="auto" w:val="clear"/>
          </w:tcPr>
          <w:p>
            <w:pPr>
              <w:pStyle w:val="TableContents"/>
              <w:spacing w:before="0" w:after="0"/>
              <w:jc w:val="both"/>
              <w:rPr>
                <w:rFonts w:ascii="arial" w:hAnsi="arial"/>
                <w:sz w:val="18"/>
              </w:rPr>
            </w:pPr>
            <w:r>
              <w:rPr>
                <w:rFonts w:ascii="arial" w:hAnsi="arial"/>
                <w:sz w:val="18"/>
              </w:rPr>
              <w:t xml:space="preserve">review and approve the total cash and stock bonus pools for the organization, and approve the individual incentive payout awards for the named executive officers;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review director compensation and make recommendations to the board;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review and approve goals used for the annual and long-term incentive plans;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retain or terminate, in its sole discretion, any independent compensation consultant used to assist the Compensation Committee;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review and evaluate compensation arrangements to assess whether they could encourage undue risk taking; and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create a Compensation Committee report on executive compensation for inclusion in the Proxy Statement. </w:t>
            </w:r>
          </w:p>
        </w:tc>
      </w:tr>
    </w:tbl>
    <w:p>
      <w:pPr>
        <w:pStyle w:val="TextBody"/>
        <w:spacing w:before="200" w:after="0"/>
        <w:jc w:val="both"/>
        <w:rPr>
          <w:rFonts w:ascii="arial" w:hAnsi="arial"/>
          <w:sz w:val="18"/>
        </w:rPr>
      </w:pPr>
      <w:r>
        <w:rPr>
          <w:rFonts w:ascii="arial" w:hAnsi="arial"/>
          <w:sz w:val="18"/>
        </w:rPr>
        <w:t xml:space="preserve">The Compensation Committee acts independently and works closely with our board of directors and the executive management team in making many of its decisions. To support its decision making, the Compensation Committee has retained the services of an independent compensation consultant. The Compensation Committee has the sole authority to amend or terminate the services of its independent consultant. </w:t>
      </w:r>
    </w:p>
    <w:p>
      <w:pPr>
        <w:pStyle w:val="TextBody"/>
        <w:spacing w:before="200" w:after="0"/>
        <w:jc w:val="both"/>
        <w:rPr>
          <w:rFonts w:ascii="arial" w:hAnsi="arial"/>
          <w:sz w:val="18"/>
        </w:rPr>
      </w:pPr>
      <w:r>
        <w:rPr>
          <w:rFonts w:ascii="arial" w:hAnsi="arial"/>
          <w:sz w:val="18"/>
        </w:rPr>
        <w:t xml:space="preserve">In 2020, the Compensation Committee was comprised entirely of independent directors. </w:t>
      </w:r>
    </w:p>
    <w:p>
      <w:pPr>
        <w:pStyle w:val="TextBody"/>
        <w:spacing w:before="200" w:after="0"/>
        <w:jc w:val="both"/>
        <w:rPr>
          <w:rFonts w:ascii="arial" w:hAnsi="arial"/>
          <w:b/>
          <w:i/>
          <w:color w:val="00548B"/>
          <w:sz w:val="18"/>
        </w:rPr>
      </w:pPr>
      <w:r>
        <w:rPr>
          <w:rFonts w:ascii="arial" w:hAnsi="arial"/>
          <w:b/>
          <w:i/>
          <w:color w:val="00548B"/>
          <w:sz w:val="18"/>
        </w:rPr>
        <w:t xml:space="preserve">Role of Management </w:t>
      </w:r>
    </w:p>
    <w:p>
      <w:pPr>
        <w:pStyle w:val="TextBody"/>
        <w:spacing w:before="0" w:after="0"/>
        <w:jc w:val="both"/>
        <w:rPr>
          <w:rFonts w:ascii="arial" w:hAnsi="arial"/>
          <w:sz w:val="18"/>
        </w:rPr>
      </w:pPr>
      <w:r>
        <w:rPr>
          <w:rFonts w:ascii="arial" w:hAnsi="arial"/>
          <w:sz w:val="18"/>
        </w:rPr>
        <w:t xml:space="preserve">Our CEO works together with the Chief Human Resources Officer and the Compensation Committee of our board to establish, review and evaluate compensation packages and policies for our executive officers. Our CEO reviews the performance of each named executive officer and makes recommendations to the Compensation Committee based on his review. Our CEO, COO and President, CFO and General Counsel provide input into our strategic goals for future performance periods. The Compensation Committee carefully reviews all information before finalizing incentive goals, however, as we believe such a process is consistent with good governance. Prior to determining the size of the bonus pool for all employees other than NEOs, management reviews Company and practice-level performance with the board so that the bonus pool and Company profitability strike the right balance between shareholder returns and retention of employees. Our CEO does not participate in the decisions related to his own compensation. </w:t>
      </w:r>
    </w:p>
    <w:p>
      <w:pPr>
        <w:pStyle w:val="TextBody"/>
        <w:spacing w:before="200" w:after="0"/>
        <w:jc w:val="both"/>
        <w:rPr>
          <w:rFonts w:ascii="arial" w:hAnsi="arial"/>
          <w:b/>
          <w:i/>
          <w:color w:val="00548B"/>
          <w:sz w:val="18"/>
        </w:rPr>
      </w:pPr>
      <w:r>
        <w:rPr>
          <w:rFonts w:ascii="arial" w:hAnsi="arial"/>
          <w:b/>
          <w:i/>
          <w:color w:val="00548B"/>
          <w:sz w:val="18"/>
        </w:rPr>
        <w:t xml:space="preserve">Role of Compensation Advisor </w:t>
      </w:r>
    </w:p>
    <w:p>
      <w:pPr>
        <w:pStyle w:val="TextBody"/>
        <w:spacing w:before="0" w:after="0"/>
        <w:jc w:val="both"/>
        <w:rPr>
          <w:rFonts w:ascii="arial" w:hAnsi="arial"/>
          <w:sz w:val="18"/>
        </w:rPr>
      </w:pPr>
      <w:r>
        <w:rPr>
          <w:rFonts w:ascii="arial" w:hAnsi="arial"/>
          <w:sz w:val="18"/>
        </w:rPr>
        <w:t xml:space="preserve">The Compensation Committee retains an independent advisor to assist in the ongoing assessment of our executive compensation strategy and program. The Committees independent advisor reports directly to the Compensation Committee and serves at its sole discretion and does not perform any services for the Company other than those in connection with its work for the Compensation Committee. Pay Governance serves as the Compensation Committees independent advisor. </w:t>
      </w:r>
    </w:p>
    <w:p>
      <w:pPr>
        <w:pStyle w:val="TextBody"/>
        <w:spacing w:before="200" w:after="0"/>
        <w:jc w:val="both"/>
        <w:rPr>
          <w:rFonts w:ascii="arial" w:hAnsi="arial"/>
          <w:sz w:val="18"/>
        </w:rPr>
      </w:pPr>
      <w:r>
        <w:rPr>
          <w:rFonts w:ascii="arial" w:hAnsi="arial"/>
          <w:sz w:val="18"/>
        </w:rPr>
        <w:t xml:space="preserve">The Compensation Committee annually assesses whether the independent advisors work has raised any conflict of interest. The Compensation Committee has determined, based on its analysis of NASDAQ requirements, that the work of Pay Governance and the individual compensation advisors employed by Pay Governance as compensation consultants to the Company has not created any conflict of interest. </w:t>
      </w:r>
    </w:p>
    <w:p>
      <w:pPr>
        <w:pStyle w:val="TextBody"/>
        <w:spacing w:before="200" w:after="0"/>
        <w:jc w:val="both"/>
        <w:rPr>
          <w:rFonts w:ascii="arial" w:hAnsi="arial"/>
          <w:b/>
          <w:i/>
          <w:color w:val="00548B"/>
          <w:sz w:val="18"/>
        </w:rPr>
      </w:pPr>
      <w:r>
        <w:rPr>
          <w:rFonts w:ascii="arial" w:hAnsi="arial"/>
          <w:b/>
          <w:i/>
          <w:color w:val="00548B"/>
          <w:sz w:val="18"/>
        </w:rPr>
        <w:t xml:space="preserve">Health and Welfare Benefits </w:t>
      </w:r>
    </w:p>
    <w:p>
      <w:pPr>
        <w:pStyle w:val="TextBody"/>
        <w:spacing w:before="0" w:after="0"/>
        <w:jc w:val="both"/>
        <w:rPr>
          <w:rFonts w:ascii="arial" w:hAnsi="arial"/>
          <w:sz w:val="18"/>
        </w:rPr>
      </w:pPr>
      <w:r>
        <w:rPr>
          <w:rFonts w:ascii="arial" w:hAnsi="arial"/>
          <w:sz w:val="18"/>
        </w:rPr>
        <w:t xml:space="preserve">The named executive officers are eligible for the same health and welfare benefits generally available to Huron employees.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i/>
          <w:color w:val="00548B"/>
          <w:sz w:val="18"/>
        </w:rPr>
      </w:pPr>
      <w:r>
        <w:rPr>
          <w:rFonts w:ascii="arial" w:hAnsi="arial"/>
          <w:b/>
          <w:i/>
          <w:color w:val="00548B"/>
          <w:sz w:val="18"/>
        </w:rPr>
        <w:t xml:space="preserve">Deferred Compensation </w:t>
      </w:r>
    </w:p>
    <w:p>
      <w:pPr>
        <w:pStyle w:val="TextBody"/>
        <w:spacing w:before="0" w:after="0"/>
        <w:jc w:val="both"/>
        <w:rPr>
          <w:rFonts w:ascii="arial" w:hAnsi="arial"/>
          <w:sz w:val="18"/>
        </w:rPr>
      </w:pPr>
      <w:r>
        <w:rPr>
          <w:rFonts w:ascii="arial" w:hAnsi="arial"/>
          <w:sz w:val="18"/>
        </w:rPr>
        <w:t xml:space="preserve">The Company also offers a nonqualified deferred compensation plan (the DCP) to all managing directors, corporate vice presidents, named executive officers and non-employee directors. The DCP allows participants to elect to defer up to 75% of their base salary and 100% of their annual cash incentive into a deferred compensation account and to choose from a number of investment alternatives. Non-employee directors may elect to defer up to 100% of their board fees into the DCP. Earnings are credited based on the returns of the investment options selected by the participant. Any amounts contributed may be deferred until a later date or may become payable in connection with a participants retirement, death, disability or other separation from service. </w:t>
      </w:r>
    </w:p>
    <w:p>
      <w:pPr>
        <w:pStyle w:val="TextBody"/>
        <w:spacing w:before="200" w:after="0"/>
        <w:jc w:val="both"/>
        <w:rPr>
          <w:rFonts w:ascii="arial" w:hAnsi="arial"/>
          <w:b/>
          <w:i/>
          <w:color w:val="00548B"/>
          <w:sz w:val="18"/>
        </w:rPr>
      </w:pPr>
      <w:r>
        <w:rPr>
          <w:rFonts w:ascii="arial" w:hAnsi="arial"/>
          <w:b/>
          <w:i/>
          <w:color w:val="00548B"/>
          <w:sz w:val="18"/>
        </w:rPr>
        <w:t xml:space="preserve">Perquisites </w:t>
      </w:r>
    </w:p>
    <w:p>
      <w:pPr>
        <w:pStyle w:val="TextBody"/>
        <w:spacing w:before="0" w:after="0"/>
        <w:jc w:val="both"/>
        <w:rPr>
          <w:rFonts w:ascii="arial" w:hAnsi="arial"/>
          <w:sz w:val="18"/>
        </w:rPr>
      </w:pPr>
      <w:r>
        <w:rPr>
          <w:rFonts w:ascii="arial" w:hAnsi="arial"/>
          <w:sz w:val="18"/>
        </w:rPr>
        <w:t xml:space="preserve">Huron provides very limited perquisites to named executive officers that are not provided widely within Huron. In response to the COVID-19 pandemic, Mr. Roth used a company aircraft on one occasion in 2020 for personal travel to maintain his health and safety. The incremental cost of Mr. Roths personal use of the company aircraft is included as a perquisite in the Summary Compensation Table under the heading All Other Compensation. In addition, the Company provides enhanced disability and life insurance benefits to all of its managing directors, corporate vice presidents and executive officers. Named executive officers and practice leaders are also offered reimbursement of the cost of an annual executive physical examination. </w:t>
      </w:r>
    </w:p>
    <w:p>
      <w:pPr>
        <w:pStyle w:val="TextBody"/>
        <w:spacing w:before="200" w:after="0"/>
        <w:jc w:val="both"/>
        <w:rPr>
          <w:rFonts w:ascii="arial" w:hAnsi="arial"/>
          <w:b/>
          <w:i/>
          <w:color w:val="00548B"/>
          <w:sz w:val="18"/>
        </w:rPr>
      </w:pPr>
      <w:r>
        <w:rPr>
          <w:rFonts w:ascii="arial" w:hAnsi="arial"/>
          <w:b/>
          <w:i/>
          <w:color w:val="00548B"/>
          <w:sz w:val="18"/>
        </w:rPr>
        <w:t xml:space="preserve">Clawback Provisions </w:t>
      </w:r>
    </w:p>
    <w:p>
      <w:pPr>
        <w:pStyle w:val="TextBody"/>
        <w:spacing w:before="0" w:after="0"/>
        <w:jc w:val="both"/>
        <w:rPr>
          <w:rFonts w:ascii="arial" w:hAnsi="arial"/>
          <w:sz w:val="18"/>
        </w:rPr>
      </w:pPr>
      <w:r>
        <w:rPr>
          <w:rFonts w:ascii="arial" w:hAnsi="arial"/>
          <w:sz w:val="18"/>
        </w:rPr>
        <w:t xml:space="preserve">In 2014, we adopted an incentive compensation recoupment policy (commonly referred to as a clawback policy) that provides for the potential recoupment of bonuses or awards paid to executive officers and such other individuals designated by our non-employee directors under our short-term and long-term incentive compensation plans, where the payout or actual award received was determined based in part on the financial performance of the Company. In the event of a material restatement of our quarterly or annual financial results, our non-employee directors will review all incentive compensation awarded to those individuals covered by the policy based upon the achievement of financial results that were the subject of the restatement. The non-employee directors have the authority to recoup all or a portion of the incentive compensation to the extent that the amount of such compensation would have been lower than the amount actually awarded, granted, paid, earned, deferred or vested based on the achievement of financial results that were subsequently reduced due to such restatement. </w:t>
      </w:r>
    </w:p>
    <w:p>
      <w:pPr>
        <w:pStyle w:val="TextBody"/>
        <w:spacing w:before="200" w:after="0"/>
        <w:jc w:val="both"/>
        <w:rPr>
          <w:rFonts w:ascii="arial" w:hAnsi="arial"/>
          <w:b/>
          <w:i/>
          <w:color w:val="00548B"/>
          <w:sz w:val="18"/>
        </w:rPr>
      </w:pPr>
      <w:r>
        <w:rPr>
          <w:rFonts w:ascii="arial" w:hAnsi="arial"/>
          <w:b/>
          <w:i/>
          <w:color w:val="00548B"/>
          <w:sz w:val="18"/>
        </w:rPr>
        <w:t xml:space="preserve">Stock Ownership Guidelines and Holding Requirements </w:t>
      </w:r>
    </w:p>
    <w:p>
      <w:pPr>
        <w:pStyle w:val="TextBody"/>
        <w:spacing w:before="0" w:after="0"/>
        <w:jc w:val="both"/>
        <w:rPr>
          <w:rFonts w:ascii="arial" w:hAnsi="arial"/>
          <w:sz w:val="18"/>
        </w:rPr>
      </w:pPr>
      <w:r>
        <w:rPr>
          <w:rFonts w:ascii="arial" w:hAnsi="arial"/>
          <w:sz w:val="18"/>
        </w:rPr>
        <w:t xml:space="preserve">In 2018, the Compensation Committee revised stock ownership guidelines for Hurons named executive officers and non-employee directors. The guidelines, set forth below, are consistent with peer practices and designed to promote alignment with the interests of stockholders and the Companys commitment to sound corporate governance.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5207"/>
        <w:gridCol w:w="207"/>
        <w:gridCol w:w="4791"/>
      </w:tblGrid>
      <w:tr>
        <w:trPr/>
        <w:tc>
          <w:tcPr>
            <w:tcW w:w="5207" w:type="dxa"/>
            <w:tcBorders/>
            <w:shd w:fill="auto" w:val="clear"/>
            <w:vAlign w:val="center"/>
          </w:tcPr>
          <w:p>
            <w:pPr>
              <w:pStyle w:val="TableContents"/>
              <w:spacing w:before="0" w:after="283"/>
              <w:rPr>
                <w:sz w:val="4"/>
                <w:szCs w:val="4"/>
              </w:rPr>
            </w:pPr>
            <w:r>
              <w:rPr>
                <w:sz w:val="4"/>
                <w:szCs w:val="4"/>
              </w:rPr>
            </w:r>
          </w:p>
        </w:tc>
        <w:tc>
          <w:tcPr>
            <w:tcW w:w="207" w:type="dxa"/>
            <w:tcBorders/>
            <w:shd w:fill="auto" w:val="clear"/>
            <w:vAlign w:val="bottom"/>
          </w:tcPr>
          <w:p>
            <w:pPr>
              <w:pStyle w:val="TableContents"/>
              <w:spacing w:before="0" w:after="283"/>
              <w:rPr>
                <w:sz w:val="4"/>
                <w:szCs w:val="4"/>
              </w:rPr>
            </w:pPr>
            <w:r>
              <w:rPr>
                <w:sz w:val="4"/>
                <w:szCs w:val="4"/>
              </w:rPr>
            </w:r>
          </w:p>
        </w:tc>
        <w:tc>
          <w:tcPr>
            <w:tcW w:w="4791" w:type="dxa"/>
            <w:tcBorders/>
            <w:shd w:fill="auto" w:val="clear"/>
            <w:vAlign w:val="center"/>
          </w:tcPr>
          <w:p>
            <w:pPr>
              <w:pStyle w:val="TableContents"/>
              <w:spacing w:before="0" w:after="283"/>
              <w:rPr>
                <w:sz w:val="4"/>
                <w:szCs w:val="4"/>
              </w:rPr>
            </w:pPr>
            <w:r>
              <w:rPr>
                <w:sz w:val="4"/>
                <w:szCs w:val="4"/>
              </w:rPr>
            </w:r>
          </w:p>
        </w:tc>
      </w:tr>
      <w:tr>
        <w:trPr/>
        <w:tc>
          <w:tcPr>
            <w:tcW w:w="5207" w:type="dxa"/>
            <w:tcBorders/>
            <w:shd w:fill="00548B" w:val="clear"/>
            <w:vAlign w:val="bottom"/>
          </w:tcPr>
          <w:p>
            <w:pPr>
              <w:pStyle w:val="TableContents"/>
              <w:spacing w:before="0" w:after="283"/>
              <w:rPr>
                <w:b/>
                <w:color w:val="D8D8D8"/>
              </w:rPr>
            </w:pPr>
            <w:r>
              <w:rPr>
                <w:b/>
                <w:color w:val="D8D8D8"/>
              </w:rPr>
              <w:t>Position</w:t>
            </w:r>
          </w:p>
        </w:tc>
        <w:tc>
          <w:tcPr>
            <w:tcW w:w="207" w:type="dxa"/>
            <w:tcBorders/>
            <w:shd w:fill="00548B" w:val="clear"/>
            <w:vAlign w:val="bottom"/>
          </w:tcPr>
          <w:p>
            <w:pPr>
              <w:pStyle w:val="TableContents"/>
              <w:spacing w:before="0" w:after="283"/>
              <w:rPr/>
            </w:pPr>
            <w:r>
              <w:rPr/>
              <w:t>  </w:t>
            </w:r>
          </w:p>
        </w:tc>
        <w:tc>
          <w:tcPr>
            <w:tcW w:w="4791" w:type="dxa"/>
            <w:tcBorders/>
            <w:shd w:fill="00548B" w:val="clear"/>
            <w:vAlign w:val="bottom"/>
          </w:tcPr>
          <w:p>
            <w:pPr>
              <w:pStyle w:val="TableContents"/>
              <w:spacing w:before="0" w:after="283"/>
              <w:rPr>
                <w:b/>
                <w:color w:val="D8D8D8"/>
              </w:rPr>
            </w:pPr>
            <w:r>
              <w:rPr>
                <w:b/>
                <w:color w:val="D8D8D8"/>
              </w:rPr>
              <w:t>Stock Ownership Guideline</w:t>
            </w:r>
          </w:p>
        </w:tc>
      </w:tr>
      <w:tr>
        <w:trPr/>
        <w:tc>
          <w:tcPr>
            <w:tcW w:w="5207"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CEO</w:t>
            </w:r>
          </w:p>
        </w:tc>
        <w:tc>
          <w:tcPr>
            <w:tcW w:w="207" w:type="dxa"/>
            <w:tcBorders>
              <w:bottom w:val="single" w:sz="2" w:space="0" w:color="999999"/>
            </w:tcBorders>
            <w:shd w:fill="auto" w:val="clear"/>
            <w:tcMar>
              <w:bottom w:w="28" w:type="dxa"/>
            </w:tcMar>
            <w:vAlign w:val="bottom"/>
          </w:tcPr>
          <w:p>
            <w:pPr>
              <w:pStyle w:val="TableContents"/>
              <w:spacing w:before="0" w:after="283"/>
              <w:rPr/>
            </w:pPr>
            <w:r>
              <w:rPr/>
              <w:t>  </w:t>
            </w:r>
          </w:p>
        </w:tc>
        <w:tc>
          <w:tcPr>
            <w:tcW w:w="4791" w:type="dxa"/>
            <w:tcBorders>
              <w:bottom w:val="single" w:sz="2" w:space="0" w:color="999999"/>
            </w:tcBorders>
            <w:shd w:fill="auto" w:val="clear"/>
            <w:tcMar>
              <w:bottom w:w="28" w:type="dxa"/>
            </w:tcMar>
          </w:tcPr>
          <w:p>
            <w:pPr>
              <w:pStyle w:val="TableContents"/>
              <w:spacing w:before="0" w:after="283"/>
              <w:rPr>
                <w:rFonts w:ascii="ARIAL" w:hAnsi="ARIAL"/>
              </w:rPr>
            </w:pPr>
            <w:r>
              <w:rPr>
                <w:rFonts w:ascii="ARIAL" w:hAnsi="ARIAL"/>
              </w:rPr>
              <w:t>5x salary</w:t>
            </w:r>
          </w:p>
        </w:tc>
      </w:tr>
      <w:tr>
        <w:trPr/>
        <w:tc>
          <w:tcPr>
            <w:tcW w:w="5207"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COO and CFO</w:t>
            </w:r>
          </w:p>
        </w:tc>
        <w:tc>
          <w:tcPr>
            <w:tcW w:w="207" w:type="dxa"/>
            <w:tcBorders>
              <w:bottom w:val="single" w:sz="2" w:space="0" w:color="999999"/>
            </w:tcBorders>
            <w:shd w:fill="auto" w:val="clear"/>
            <w:tcMar>
              <w:bottom w:w="28" w:type="dxa"/>
            </w:tcMar>
            <w:vAlign w:val="bottom"/>
          </w:tcPr>
          <w:p>
            <w:pPr>
              <w:pStyle w:val="TableContents"/>
              <w:spacing w:before="0" w:after="283"/>
              <w:rPr/>
            </w:pPr>
            <w:r>
              <w:rPr/>
              <w:t>  </w:t>
            </w:r>
          </w:p>
        </w:tc>
        <w:tc>
          <w:tcPr>
            <w:tcW w:w="4791" w:type="dxa"/>
            <w:tcBorders>
              <w:bottom w:val="single" w:sz="2" w:space="0" w:color="999999"/>
            </w:tcBorders>
            <w:shd w:fill="auto" w:val="clear"/>
            <w:tcMar>
              <w:bottom w:w="28" w:type="dxa"/>
            </w:tcMar>
          </w:tcPr>
          <w:p>
            <w:pPr>
              <w:pStyle w:val="TableContents"/>
              <w:spacing w:before="0" w:after="283"/>
              <w:rPr>
                <w:rFonts w:ascii="ARIAL" w:hAnsi="ARIAL"/>
              </w:rPr>
            </w:pPr>
            <w:r>
              <w:rPr>
                <w:rFonts w:ascii="ARIAL" w:hAnsi="ARIAL"/>
              </w:rPr>
              <w:t>2x salary</w:t>
            </w:r>
          </w:p>
        </w:tc>
      </w:tr>
      <w:tr>
        <w:trPr/>
        <w:tc>
          <w:tcPr>
            <w:tcW w:w="5207"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Other Executive Officers</w:t>
            </w:r>
          </w:p>
        </w:tc>
        <w:tc>
          <w:tcPr>
            <w:tcW w:w="207" w:type="dxa"/>
            <w:tcBorders>
              <w:bottom w:val="single" w:sz="2" w:space="0" w:color="999999"/>
            </w:tcBorders>
            <w:shd w:fill="auto" w:val="clear"/>
            <w:tcMar>
              <w:bottom w:w="28" w:type="dxa"/>
            </w:tcMar>
            <w:vAlign w:val="bottom"/>
          </w:tcPr>
          <w:p>
            <w:pPr>
              <w:pStyle w:val="TableContents"/>
              <w:spacing w:before="0" w:after="283"/>
              <w:rPr/>
            </w:pPr>
            <w:r>
              <w:rPr/>
              <w:t>  </w:t>
            </w:r>
          </w:p>
        </w:tc>
        <w:tc>
          <w:tcPr>
            <w:tcW w:w="4791" w:type="dxa"/>
            <w:tcBorders>
              <w:bottom w:val="single" w:sz="2" w:space="0" w:color="999999"/>
            </w:tcBorders>
            <w:shd w:fill="auto" w:val="clear"/>
            <w:tcMar>
              <w:bottom w:w="28" w:type="dxa"/>
            </w:tcMar>
          </w:tcPr>
          <w:p>
            <w:pPr>
              <w:pStyle w:val="TableContents"/>
              <w:spacing w:before="0" w:after="283"/>
              <w:rPr>
                <w:rFonts w:ascii="ARIAL" w:hAnsi="ARIAL"/>
              </w:rPr>
            </w:pPr>
            <w:r>
              <w:rPr>
                <w:rFonts w:ascii="ARIAL" w:hAnsi="ARIAL"/>
              </w:rPr>
              <w:t>1x salary</w:t>
            </w:r>
          </w:p>
        </w:tc>
      </w:tr>
      <w:tr>
        <w:trPr/>
        <w:tc>
          <w:tcPr>
            <w:tcW w:w="5207" w:type="dxa"/>
            <w:tcBorders>
              <w:bottom w:val="single" w:sz="2" w:space="0" w:color="00548B"/>
            </w:tcBorders>
            <w:shd w:fill="auto" w:val="clear"/>
            <w:tcMar>
              <w:bottom w:w="28" w:type="dxa"/>
            </w:tcMar>
          </w:tcPr>
          <w:p>
            <w:pPr>
              <w:pStyle w:val="TableContents"/>
              <w:spacing w:before="0" w:after="0"/>
              <w:rPr>
                <w:rFonts w:ascii="arial" w:hAnsi="arial"/>
                <w:sz w:val="18"/>
              </w:rPr>
            </w:pPr>
            <w:r>
              <w:rPr>
                <w:rFonts w:ascii="arial" w:hAnsi="arial"/>
                <w:sz w:val="18"/>
              </w:rPr>
              <w:t>Non-employee Directors</w:t>
            </w:r>
          </w:p>
        </w:tc>
        <w:tc>
          <w:tcPr>
            <w:tcW w:w="207" w:type="dxa"/>
            <w:tcBorders>
              <w:bottom w:val="single" w:sz="2" w:space="0" w:color="00548B"/>
            </w:tcBorders>
            <w:shd w:fill="auto" w:val="clear"/>
            <w:tcMar>
              <w:bottom w:w="28" w:type="dxa"/>
            </w:tcMar>
            <w:vAlign w:val="bottom"/>
          </w:tcPr>
          <w:p>
            <w:pPr>
              <w:pStyle w:val="TableContents"/>
              <w:spacing w:before="0" w:after="283"/>
              <w:rPr/>
            </w:pPr>
            <w:r>
              <w:rPr/>
              <w:t>  </w:t>
            </w:r>
          </w:p>
        </w:tc>
        <w:tc>
          <w:tcPr>
            <w:tcW w:w="4791" w:type="dxa"/>
            <w:tcBorders>
              <w:bottom w:val="single" w:sz="2" w:space="0" w:color="00548B"/>
            </w:tcBorders>
            <w:shd w:fill="auto" w:val="clear"/>
            <w:tcMar>
              <w:bottom w:w="28" w:type="dxa"/>
            </w:tcMar>
          </w:tcPr>
          <w:p>
            <w:pPr>
              <w:pStyle w:val="TableContents"/>
              <w:spacing w:before="0" w:after="283"/>
              <w:rPr>
                <w:rFonts w:ascii="ARIAL" w:hAnsi="ARIAL"/>
              </w:rPr>
            </w:pPr>
            <w:r>
              <w:rPr>
                <w:rFonts w:ascii="ARIAL" w:hAnsi="ARIAL"/>
              </w:rPr>
              <w:t>5x the annual retainer of $60,000</w:t>
            </w:r>
          </w:p>
        </w:tc>
      </w:tr>
    </w:tbl>
    <w:p>
      <w:pPr>
        <w:pStyle w:val="TextBody"/>
        <w:spacing w:before="200" w:after="0"/>
        <w:jc w:val="both"/>
        <w:rPr>
          <w:rFonts w:ascii="arial" w:hAnsi="arial"/>
          <w:sz w:val="18"/>
        </w:rPr>
      </w:pPr>
      <w:r>
        <w:rPr>
          <w:rFonts w:ascii="arial" w:hAnsi="arial"/>
          <w:sz w:val="18"/>
        </w:rPr>
        <w:t xml:space="preserve">Until the relevant stock ownership target is achieved, executive officers and non-employee directors are required to retain a number of shares equal to at least 60% of the net after tax proceeds from the exercise of stock options or vesting of restricted stock and performance units. Only shares owned outright count towards ownership requirements. Unexercised stock options and unvested performance units or unvested restricted stock do not count. All of our NEOs and non-employee directors are in compliance with the terms of our share ownership guidelines. </w:t>
      </w:r>
    </w:p>
    <w:p>
      <w:pPr>
        <w:pStyle w:val="TextBody"/>
        <w:spacing w:before="200" w:after="0"/>
        <w:jc w:val="both"/>
        <w:rPr>
          <w:rFonts w:ascii="arial" w:hAnsi="arial"/>
          <w:b/>
          <w:i/>
          <w:color w:val="00548B"/>
          <w:sz w:val="18"/>
        </w:rPr>
      </w:pPr>
      <w:r>
        <w:rPr>
          <w:rFonts w:ascii="arial" w:hAnsi="arial"/>
          <w:b/>
          <w:i/>
          <w:color w:val="00548B"/>
          <w:sz w:val="18"/>
        </w:rPr>
        <w:t xml:space="preserve">Hedging and Pledging </w:t>
      </w:r>
    </w:p>
    <w:p>
      <w:pPr>
        <w:pStyle w:val="TextBody"/>
        <w:spacing w:before="0" w:after="0"/>
        <w:jc w:val="both"/>
        <w:rPr>
          <w:rFonts w:ascii="arial" w:hAnsi="arial"/>
          <w:sz w:val="18"/>
        </w:rPr>
      </w:pPr>
      <w:r>
        <w:rPr>
          <w:rFonts w:ascii="arial" w:hAnsi="arial"/>
          <w:sz w:val="18"/>
        </w:rPr>
        <w:t xml:space="preserve">The Company has an insider trading policy that prohibits directors, officers, employees and contractors from entering into transactions in publicly traded puts, calls or other derivative securities with respect to Hurons stock and prohibits any other transaction that hedges the ownership in Hurons stock or holding Company securities in a margin account or pledging Company securities as collateral for a loan.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i/>
          <w:color w:val="00548B"/>
          <w:sz w:val="18"/>
        </w:rPr>
      </w:pPr>
      <w:r>
        <w:rPr>
          <w:rFonts w:ascii="arial" w:hAnsi="arial"/>
          <w:b/>
          <w:i/>
          <w:color w:val="00548B"/>
          <w:sz w:val="18"/>
        </w:rPr>
        <w:t xml:space="preserve">Tax Considerations </w:t>
      </w:r>
    </w:p>
    <w:p>
      <w:pPr>
        <w:pStyle w:val="TextBody"/>
        <w:spacing w:before="0" w:after="0"/>
        <w:jc w:val="both"/>
        <w:rPr>
          <w:rFonts w:ascii="arial" w:hAnsi="arial"/>
          <w:sz w:val="18"/>
        </w:rPr>
      </w:pPr>
      <w:r>
        <w:rPr>
          <w:rFonts w:ascii="arial" w:hAnsi="arial"/>
          <w:b/>
          <w:i/>
          <w:color w:val="00548B"/>
          <w:sz w:val="18"/>
        </w:rPr>
        <w:t>Section</w:t>
      </w:r>
      <w:r>
        <w:rPr>
          <w:rFonts w:ascii="arial" w:hAnsi="arial"/>
          <w:color w:val="00548B"/>
          <w:sz w:val="18"/>
        </w:rPr>
        <w:t> </w:t>
      </w:r>
      <w:r>
        <w:rPr>
          <w:rFonts w:ascii="arial" w:hAnsi="arial"/>
          <w:b/>
          <w:i/>
          <w:color w:val="00548B"/>
          <w:sz w:val="18"/>
        </w:rPr>
        <w:t>162(m)</w:t>
      </w:r>
      <w:r>
        <w:rPr>
          <w:rFonts w:ascii="arial" w:hAnsi="arial"/>
          <w:sz w:val="18"/>
        </w:rPr>
        <w:t xml:space="preserve">. Section 162(m) of the Code generally disallows a tax deduction to public companies for compensation paid in excess of $1 million for any fiscal year to a companys chief executive officer or other named executive officers (excluding the companys principal financial officer, in the case of tax years commencing before 2018). However, in the case of tax years commencing before 2018, the statute exempted qualifying performance-based compensation from the deduction limit if certain requirements were met. Section 162(m) was amended in December 2017 by the Tax Cuts and Jobs Act to eliminate the exemption for performance-based compensation (other than with respect to payments made pursuant to certain grandfathered arrangements entered into prior to November 2, 2017) and to expand the group of current and former executive officers who may be covered by the deduction limit under Section 162(m). While the Companys shareholder approved incentive plans were previously structured to provide that certain awards could be made in a manner intended to qualify for the performance-based compensation exemption, that exemption will no longer be available for future tax years (other than with respect to certain grandfathered arrangements as noted above). In addition, while the Compensation Committee intended that certain incentive awards granted to our NEOs on or prior to November 2, 2017 be deductible as performance-based compensation and has assessed the possibility that certain awards will be grandfathered from the changes made by the Tax Cuts and Jobs Act, it cannot guarantee that result. The Compensation Committee has taken the potential impact of the Tax Cuts and Jobs Act into consideration when approving payout amounts for performance periods ending on December 31, 2020. The Compensation Committee expects in the future to authorize compensation in excess of $1 million to named executive officers that will not be deductible under Section 162(m) when it believes doing so is in the best interests of the Company and its shareholders. </w:t>
      </w:r>
    </w:p>
    <w:p>
      <w:pPr>
        <w:pStyle w:val="TextBody"/>
        <w:spacing w:before="200" w:after="0"/>
        <w:jc w:val="both"/>
        <w:rPr>
          <w:rFonts w:ascii="arial" w:hAnsi="arial"/>
          <w:sz w:val="18"/>
        </w:rPr>
      </w:pPr>
      <w:r>
        <w:rPr>
          <w:rFonts w:ascii="arial" w:hAnsi="arial"/>
          <w:b/>
          <w:i/>
          <w:color w:val="00548B"/>
          <w:sz w:val="18"/>
        </w:rPr>
        <w:t>Section</w:t>
      </w:r>
      <w:r>
        <w:rPr>
          <w:rFonts w:ascii="arial" w:hAnsi="arial"/>
          <w:color w:val="00548B"/>
          <w:sz w:val="18"/>
        </w:rPr>
        <w:t> </w:t>
      </w:r>
      <w:r>
        <w:rPr>
          <w:rFonts w:ascii="arial" w:hAnsi="arial"/>
          <w:b/>
          <w:i/>
          <w:color w:val="00548B"/>
          <w:sz w:val="18"/>
        </w:rPr>
        <w:t>280G</w:t>
      </w:r>
      <w:r>
        <w:rPr>
          <w:rFonts w:ascii="arial" w:hAnsi="arial"/>
          <w:sz w:val="18"/>
        </w:rPr>
        <w:t xml:space="preserve">. Section 280G of the Code disallows a companys tax deduction for certain payments in connection with a change of control defined as excess parachute payments, and Section 4999 of the Code imposes a 20% excise tax on certain persons who receive excess parachute payments. The Compensation Committee amended Senior Management Agreements in 2010 to ensure that any covered payments would be reduced to the extent necessary so that no portion of such payments is subject to the excise tax. </w:t>
      </w:r>
    </w:p>
    <w:p>
      <w:pPr>
        <w:pStyle w:val="TextBody"/>
        <w:spacing w:before="200" w:after="0"/>
        <w:jc w:val="both"/>
        <w:rPr>
          <w:rFonts w:ascii="arial" w:hAnsi="arial"/>
          <w:b/>
          <w:color w:val="00548B"/>
          <w:sz w:val="20"/>
        </w:rPr>
      </w:pPr>
      <w:bookmarkStart w:id="25" w:name="toc170561_23"/>
      <w:bookmarkEnd w:id="25"/>
      <w:r>
        <w:rPr>
          <w:rFonts w:ascii="arial" w:hAnsi="arial"/>
          <w:b/>
          <w:color w:val="00548B"/>
          <w:sz w:val="20"/>
        </w:rPr>
        <w:t>C</w:t>
      </w:r>
      <w:r>
        <w:rPr>
          <w:rFonts w:ascii="arial" w:hAnsi="arial"/>
          <w:b/>
          <w:color w:val="00548B"/>
          <w:sz w:val="14"/>
        </w:rPr>
        <w:t>OMPENSATION</w:t>
      </w:r>
      <w:r>
        <w:rPr>
          <w:rFonts w:ascii="arial" w:hAnsi="arial"/>
          <w:b/>
          <w:color w:val="00548B"/>
          <w:sz w:val="20"/>
        </w:rPr>
        <w:t xml:space="preserve"> C</w:t>
      </w:r>
      <w:r>
        <w:rPr>
          <w:rFonts w:ascii="arial" w:hAnsi="arial"/>
          <w:b/>
          <w:color w:val="00548B"/>
          <w:sz w:val="14"/>
        </w:rPr>
        <w:t>OMMITTEE</w:t>
      </w:r>
      <w:r>
        <w:rPr>
          <w:rFonts w:ascii="arial" w:hAnsi="arial"/>
          <w:b/>
          <w:color w:val="00548B"/>
          <w:sz w:val="20"/>
        </w:rPr>
        <w:t xml:space="preserve"> R</w:t>
      </w:r>
      <w:r>
        <w:rPr>
          <w:rFonts w:ascii="arial" w:hAnsi="arial"/>
          <w:b/>
          <w:color w:val="00548B"/>
          <w:sz w:val="14"/>
        </w:rPr>
        <w:t>EPORT</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Compensation Committee has reviewed and discussed with management the information contained under the caption Compensation Discussion and Analysis and, based on this review and discussion, has recommended to the board of directors that it be included in this Proxy Statement and incorporated by reference into our 2020 Annual Report on Form 10-K. </w:t>
      </w:r>
    </w:p>
    <w:p>
      <w:pPr>
        <w:pStyle w:val="TextBody"/>
        <w:spacing w:before="200" w:after="0"/>
        <w:jc w:val="both"/>
        <w:rPr>
          <w:rFonts w:ascii="arial" w:hAnsi="arial"/>
          <w:sz w:val="18"/>
        </w:rPr>
      </w:pPr>
      <w:r>
        <w:rPr>
          <w:rFonts w:ascii="arial" w:hAnsi="arial"/>
          <w:sz w:val="18"/>
        </w:rPr>
        <w:t xml:space="preserve">Debra Zumwalt, Chair </w:t>
      </w:r>
    </w:p>
    <w:p>
      <w:pPr>
        <w:pStyle w:val="TextBody"/>
        <w:spacing w:before="0" w:after="0"/>
        <w:jc w:val="left"/>
        <w:rPr>
          <w:rFonts w:ascii="arial" w:hAnsi="arial"/>
          <w:sz w:val="20"/>
        </w:rPr>
      </w:pPr>
      <w:r>
        <w:rPr>
          <w:rFonts w:ascii="arial" w:hAnsi="arial"/>
          <w:sz w:val="20"/>
        </w:rPr>
        <w:t xml:space="preserve">H. Eugene Lockhart </w:t>
      </w:r>
    </w:p>
    <w:p>
      <w:pPr>
        <w:pStyle w:val="TextBody"/>
        <w:spacing w:before="0" w:after="0"/>
        <w:jc w:val="both"/>
        <w:rPr>
          <w:rFonts w:ascii="arial" w:hAnsi="arial"/>
          <w:sz w:val="18"/>
        </w:rPr>
      </w:pPr>
      <w:r>
        <w:rPr>
          <w:rFonts w:ascii="arial" w:hAnsi="arial"/>
          <w:sz w:val="18"/>
        </w:rPr>
        <w:t xml:space="preserve">Hugh E. Sawyer </w:t>
      </w:r>
    </w:p>
    <w:p>
      <w:pPr>
        <w:pStyle w:val="TextBody"/>
        <w:spacing w:before="0" w:after="0"/>
        <w:jc w:val="both"/>
        <w:rPr>
          <w:rFonts w:ascii="arial" w:hAnsi="arial"/>
          <w:sz w:val="18"/>
        </w:rPr>
      </w:pPr>
      <w:r>
        <w:rPr>
          <w:rFonts w:ascii="arial" w:hAnsi="arial"/>
          <w:sz w:val="18"/>
        </w:rPr>
        <w:t xml:space="preserve">Ekta Singh-Bushell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rHeight w:val="60" w:hRule="atLeast"/>
        </w:trPr>
        <w:tc>
          <w:tcPr>
            <w:tcW w:w="10205" w:type="dxa"/>
            <w:tcBorders>
              <w:top w:val="single" w:sz="2" w:space="0" w:color="00548B"/>
              <w:left w:val="single" w:sz="2" w:space="0" w:color="00548B"/>
              <w:right w:val="single" w:sz="2" w:space="0" w:color="00548B"/>
            </w:tcBorders>
            <w:shd w:fill="00548B" w:val="clear"/>
            <w:tcMar>
              <w:top w:w="28" w:type="dxa"/>
              <w:left w:w="160" w:type="dxa"/>
              <w:right w:w="28" w:type="dxa"/>
            </w:tcMar>
            <w:vAlign w:val="center"/>
          </w:tcPr>
          <w:p>
            <w:pPr>
              <w:pStyle w:val="TableContents"/>
              <w:spacing w:before="0" w:after="283"/>
              <w:rPr/>
            </w:pPr>
            <w:r>
              <w:rPr/>
              <w:t> </w:t>
            </w:r>
          </w:p>
        </w:tc>
      </w:tr>
      <w:tr>
        <w:trPr/>
        <w:tc>
          <w:tcPr>
            <w:tcW w:w="10205" w:type="dxa"/>
            <w:tcBorders>
              <w:left w:val="single" w:sz="2" w:space="0" w:color="00548B"/>
              <w:bottom w:val="single" w:sz="2" w:space="0" w:color="00548B"/>
              <w:right w:val="single" w:sz="2" w:space="0" w:color="00548B"/>
            </w:tcBorders>
            <w:shd w:fill="00548B" w:val="clear"/>
            <w:tcMar>
              <w:left w:w="160" w:type="dxa"/>
              <w:bottom w:w="28" w:type="dxa"/>
              <w:right w:w="40" w:type="dxa"/>
            </w:tcMar>
            <w:vAlign w:val="center"/>
          </w:tcPr>
          <w:p>
            <w:pPr>
              <w:pStyle w:val="TableContents"/>
              <w:spacing w:before="0" w:after="283"/>
              <w:jc w:val="center"/>
              <w:rPr>
                <w:b/>
                <w:color w:val="D8D8D8"/>
              </w:rPr>
            </w:pPr>
            <w:r>
              <w:rPr>
                <w:b/>
                <w:color w:val="D8D8D8"/>
              </w:rPr>
              <w:t>REQUIRED COMPENSATION DISCLOSURES</w:t>
            </w:r>
          </w:p>
        </w:tc>
      </w:tr>
    </w:tbl>
    <w:p>
      <w:pPr>
        <w:pStyle w:val="TextBody"/>
        <w:spacing w:before="200" w:after="0"/>
        <w:jc w:val="both"/>
        <w:rPr>
          <w:rFonts w:ascii="arial" w:hAnsi="arial"/>
          <w:b/>
          <w:color w:val="00548B"/>
          <w:sz w:val="20"/>
        </w:rPr>
      </w:pPr>
      <w:bookmarkStart w:id="26" w:name="toc170561_24"/>
      <w:bookmarkEnd w:id="26"/>
      <w:r>
        <w:rPr>
          <w:rFonts w:ascii="arial" w:hAnsi="arial"/>
          <w:b/>
          <w:color w:val="00548B"/>
          <w:sz w:val="20"/>
        </w:rPr>
        <w:t>2020 S</w:t>
      </w:r>
      <w:r>
        <w:rPr>
          <w:rFonts w:ascii="arial" w:hAnsi="arial"/>
          <w:b/>
          <w:color w:val="00548B"/>
          <w:sz w:val="14"/>
        </w:rPr>
        <w:t>UMMARY</w:t>
      </w:r>
      <w:r>
        <w:rPr>
          <w:rFonts w:ascii="arial" w:hAnsi="arial"/>
          <w:b/>
          <w:color w:val="00548B"/>
          <w:sz w:val="20"/>
        </w:rPr>
        <w:t xml:space="preserve"> C</w:t>
      </w:r>
      <w:r>
        <w:rPr>
          <w:rFonts w:ascii="arial" w:hAnsi="arial"/>
          <w:b/>
          <w:color w:val="00548B"/>
          <w:sz w:val="14"/>
        </w:rPr>
        <w:t>OMPENSATION</w:t>
      </w:r>
      <w:r>
        <w:rPr>
          <w:rFonts w:ascii="arial" w:hAnsi="arial"/>
          <w:b/>
          <w:color w:val="00548B"/>
          <w:sz w:val="20"/>
        </w:rPr>
        <w:t xml:space="preserve"> T</w:t>
      </w:r>
      <w:r>
        <w:rPr>
          <w:rFonts w:ascii="arial" w:hAnsi="arial"/>
          <w:b/>
          <w:color w:val="00548B"/>
          <w:sz w:val="14"/>
        </w:rPr>
        <w:t>ABLE</w:t>
      </w:r>
      <w:r>
        <w:rPr>
          <w:rFonts w:ascii="arial" w:hAnsi="arial"/>
          <w:b/>
          <w:color w:val="00548B"/>
          <w:sz w:val="20"/>
        </w:rPr>
        <w:t xml:space="preserve">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40"/>
        <w:gridCol w:w="66"/>
        <w:gridCol w:w="560"/>
        <w:gridCol w:w="66"/>
        <w:gridCol w:w="897"/>
        <w:gridCol w:w="66"/>
        <w:gridCol w:w="60"/>
        <w:gridCol w:w="897"/>
        <w:gridCol w:w="66"/>
        <w:gridCol w:w="66"/>
        <w:gridCol w:w="77"/>
        <w:gridCol w:w="1420"/>
        <w:gridCol w:w="66"/>
        <w:gridCol w:w="66"/>
        <w:gridCol w:w="60"/>
        <w:gridCol w:w="1094"/>
        <w:gridCol w:w="66"/>
        <w:gridCol w:w="66"/>
        <w:gridCol w:w="109"/>
        <w:gridCol w:w="1390"/>
        <w:gridCol w:w="65"/>
        <w:gridCol w:w="66"/>
        <w:gridCol w:w="78"/>
        <w:gridCol w:w="1420"/>
        <w:gridCol w:w="78"/>
      </w:tblGrid>
      <w:tr>
        <w:trPr/>
        <w:tc>
          <w:tcPr>
            <w:tcW w:w="134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7"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77"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94" w:type="dxa"/>
            <w:tcBorders/>
            <w:shd w:fill="auto" w:val="clear"/>
            <w:vAlign w:val="cente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0" w:type="dxa"/>
            <w:tcBorders/>
            <w:shd w:fill="auto" w:val="clear"/>
            <w:vAlign w:val="center"/>
          </w:tcPr>
          <w:p>
            <w:pPr>
              <w:pStyle w:val="TableContents"/>
              <w:spacing w:before="0" w:after="283"/>
              <w:rPr>
                <w:sz w:val="4"/>
                <w:szCs w:val="4"/>
              </w:rPr>
            </w:pPr>
            <w:r>
              <w:rPr>
                <w:sz w:val="4"/>
                <w:szCs w:val="4"/>
              </w:rPr>
            </w:r>
          </w:p>
        </w:tc>
        <w:tc>
          <w:tcPr>
            <w:tcW w:w="65"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78" w:type="dxa"/>
            <w:tcBorders/>
            <w:shd w:fill="auto" w:val="clear"/>
            <w:vAlign w:val="center"/>
          </w:tcPr>
          <w:p>
            <w:pPr>
              <w:pStyle w:val="TableContents"/>
              <w:spacing w:before="0" w:after="283"/>
              <w:rPr>
                <w:sz w:val="4"/>
                <w:szCs w:val="4"/>
              </w:rPr>
            </w:pPr>
            <w:r>
              <w:rPr>
                <w:sz w:val="4"/>
                <w:szCs w:val="4"/>
              </w:rPr>
            </w:r>
          </w:p>
        </w:tc>
        <w:tc>
          <w:tcPr>
            <w:tcW w:w="1420" w:type="dxa"/>
            <w:tcBorders/>
            <w:shd w:fill="auto" w:val="clear"/>
            <w:vAlign w:val="center"/>
          </w:tcPr>
          <w:p>
            <w:pPr>
              <w:pStyle w:val="TableContents"/>
              <w:spacing w:before="0" w:after="283"/>
              <w:rPr>
                <w:sz w:val="4"/>
                <w:szCs w:val="4"/>
              </w:rPr>
            </w:pPr>
            <w:r>
              <w:rPr>
                <w:sz w:val="4"/>
                <w:szCs w:val="4"/>
              </w:rPr>
            </w:r>
          </w:p>
        </w:tc>
        <w:tc>
          <w:tcPr>
            <w:tcW w:w="78" w:type="dxa"/>
            <w:tcBorders/>
            <w:shd w:fill="auto" w:val="clear"/>
            <w:vAlign w:val="bottom"/>
          </w:tcPr>
          <w:p>
            <w:pPr>
              <w:pStyle w:val="TableContents"/>
              <w:spacing w:before="0" w:after="283"/>
              <w:rPr>
                <w:sz w:val="4"/>
                <w:szCs w:val="4"/>
              </w:rPr>
            </w:pPr>
            <w:r>
              <w:rPr>
                <w:sz w:val="4"/>
                <w:szCs w:val="4"/>
              </w:rPr>
            </w:r>
          </w:p>
        </w:tc>
      </w:tr>
      <w:tr>
        <w:trPr/>
        <w:tc>
          <w:tcPr>
            <w:tcW w:w="1340" w:type="dxa"/>
            <w:tcBorders/>
            <w:shd w:fill="00548B" w:val="clear"/>
            <w:vAlign w:val="bottom"/>
          </w:tcPr>
          <w:p>
            <w:pPr>
              <w:pStyle w:val="TableContents"/>
              <w:spacing w:before="0" w:after="283"/>
              <w:rPr>
                <w:b/>
                <w:color w:val="D8D8D8"/>
              </w:rPr>
            </w:pPr>
            <w:r>
              <w:rPr>
                <w:b/>
                <w:color w:val="D8D8D8"/>
              </w:rPr>
              <w:t>Name and Principal Position</w:t>
            </w:r>
          </w:p>
        </w:tc>
        <w:tc>
          <w:tcPr>
            <w:tcW w:w="66" w:type="dxa"/>
            <w:tcBorders/>
            <w:shd w:fill="00548B" w:val="clear"/>
            <w:vAlign w:val="bottom"/>
          </w:tcPr>
          <w:p>
            <w:pPr>
              <w:pStyle w:val="TableContents"/>
              <w:spacing w:before="0" w:after="283"/>
              <w:rPr/>
            </w:pPr>
            <w:r>
              <w:rPr/>
              <w:t> </w:t>
            </w:r>
          </w:p>
        </w:tc>
        <w:tc>
          <w:tcPr>
            <w:tcW w:w="560" w:type="dxa"/>
            <w:tcBorders/>
            <w:shd w:fill="00548B" w:val="clear"/>
            <w:vAlign w:val="bottom"/>
          </w:tcPr>
          <w:p>
            <w:pPr>
              <w:pStyle w:val="TableContents"/>
              <w:spacing w:before="0" w:after="283"/>
              <w:jc w:val="center"/>
              <w:rPr>
                <w:b/>
                <w:color w:val="D8D8D8"/>
              </w:rPr>
            </w:pPr>
            <w:r>
              <w:rPr>
                <w:b/>
                <w:color w:val="D8D8D8"/>
              </w:rPr>
              <w:t>Year</w:t>
            </w:r>
          </w:p>
        </w:tc>
        <w:tc>
          <w:tcPr>
            <w:tcW w:w="66" w:type="dxa"/>
            <w:tcBorders/>
            <w:shd w:fill="00548B" w:val="clear"/>
            <w:vAlign w:val="bottom"/>
          </w:tcPr>
          <w:p>
            <w:pPr>
              <w:pStyle w:val="TableContents"/>
              <w:spacing w:before="0" w:after="283"/>
              <w:rPr/>
            </w:pPr>
            <w:r>
              <w:rPr/>
              <w:t> </w:t>
            </w:r>
          </w:p>
        </w:tc>
        <w:tc>
          <w:tcPr>
            <w:tcW w:w="897" w:type="dxa"/>
            <w:tcBorders/>
            <w:shd w:fill="00548B" w:val="clear"/>
            <w:vAlign w:val="bottom"/>
          </w:tcPr>
          <w:p>
            <w:pPr>
              <w:pStyle w:val="TableContents"/>
              <w:spacing w:before="0" w:after="283"/>
              <w:jc w:val="center"/>
              <w:rPr>
                <w:b/>
                <w:color w:val="D8D8D8"/>
              </w:rPr>
            </w:pPr>
            <w:r>
              <w:rPr>
                <w:b/>
                <w:color w:val="D8D8D8"/>
              </w:rPr>
              <w:t>Salary</w:t>
              <w:br/>
              <w:t>($)</w:t>
            </w:r>
          </w:p>
        </w:tc>
        <w:tc>
          <w:tcPr>
            <w:tcW w:w="66" w:type="dxa"/>
            <w:tcBorders/>
            <w:shd w:fill="00548B" w:val="clear"/>
            <w:vAlign w:val="bottom"/>
          </w:tcPr>
          <w:p>
            <w:pPr>
              <w:pStyle w:val="TableContents"/>
              <w:spacing w:before="0" w:after="283"/>
              <w:rPr/>
            </w:pPr>
            <w:r>
              <w:rPr/>
              <w:t> </w:t>
            </w:r>
          </w:p>
        </w:tc>
        <w:tc>
          <w:tcPr>
            <w:tcW w:w="957" w:type="dxa"/>
            <w:gridSpan w:val="2"/>
            <w:tcBorders/>
            <w:shd w:fill="00548B" w:val="clear"/>
            <w:vAlign w:val="bottom"/>
          </w:tcPr>
          <w:p>
            <w:pPr>
              <w:pStyle w:val="TableContents"/>
              <w:spacing w:before="0" w:after="283"/>
              <w:jc w:val="center"/>
              <w:rPr>
                <w:b/>
                <w:color w:val="D8D8D8"/>
              </w:rPr>
            </w:pPr>
            <w:r>
              <w:rPr>
                <w:b/>
                <w:color w:val="D8D8D8"/>
              </w:rPr>
              <w:t>Bonus</w:t>
              <w:br/>
              <w:t>($)(6)</w:t>
            </w:r>
          </w:p>
        </w:tc>
        <w:tc>
          <w:tcPr>
            <w:tcW w:w="66" w:type="dxa"/>
            <w:tcBorders/>
            <w:shd w:fill="00548B" w:val="clear"/>
            <w:vAlign w:val="bottom"/>
          </w:tcPr>
          <w:p>
            <w:pPr>
              <w:pStyle w:val="TableContents"/>
              <w:spacing w:before="0" w:after="283"/>
              <w:rPr/>
            </w:pPr>
            <w:r>
              <w:rPr/>
              <w:t> </w:t>
            </w:r>
          </w:p>
        </w:tc>
        <w:tc>
          <w:tcPr>
            <w:tcW w:w="66" w:type="dxa"/>
            <w:tcBorders/>
            <w:shd w:fill="00548B" w:val="clear"/>
            <w:vAlign w:val="bottom"/>
          </w:tcPr>
          <w:p>
            <w:pPr>
              <w:pStyle w:val="TableContents"/>
              <w:spacing w:before="0" w:after="283"/>
              <w:rPr/>
            </w:pPr>
            <w:r>
              <w:rPr/>
              <w:t> </w:t>
            </w:r>
          </w:p>
        </w:tc>
        <w:tc>
          <w:tcPr>
            <w:tcW w:w="1497" w:type="dxa"/>
            <w:gridSpan w:val="2"/>
            <w:tcBorders/>
            <w:shd w:fill="00548B" w:val="clear"/>
            <w:vAlign w:val="bottom"/>
          </w:tcPr>
          <w:p>
            <w:pPr>
              <w:pStyle w:val="TableContents"/>
              <w:spacing w:before="0" w:after="283"/>
              <w:jc w:val="center"/>
              <w:rPr>
                <w:b/>
                <w:color w:val="D8D8D8"/>
              </w:rPr>
            </w:pPr>
            <w:r>
              <w:rPr>
                <w:b/>
                <w:color w:val="D8D8D8"/>
              </w:rPr>
              <w:t>Non Equity</w:t>
              <w:br/>
              <w:t>Incentive Plan</w:t>
              <w:br/>
              <w:t>Compensation</w:t>
              <w:br/>
              <w:t>($)</w:t>
            </w:r>
          </w:p>
        </w:tc>
        <w:tc>
          <w:tcPr>
            <w:tcW w:w="66" w:type="dxa"/>
            <w:tcBorders/>
            <w:shd w:fill="00548B" w:val="clear"/>
            <w:vAlign w:val="bottom"/>
          </w:tcPr>
          <w:p>
            <w:pPr>
              <w:pStyle w:val="TableContents"/>
              <w:spacing w:before="0" w:after="283"/>
              <w:rPr/>
            </w:pPr>
            <w:r>
              <w:rPr/>
              <w:t> </w:t>
            </w:r>
          </w:p>
        </w:tc>
        <w:tc>
          <w:tcPr>
            <w:tcW w:w="66" w:type="dxa"/>
            <w:tcBorders/>
            <w:shd w:fill="00548B" w:val="clear"/>
            <w:vAlign w:val="bottom"/>
          </w:tcPr>
          <w:p>
            <w:pPr>
              <w:pStyle w:val="TableContents"/>
              <w:spacing w:before="0" w:after="283"/>
              <w:rPr/>
            </w:pPr>
            <w:r>
              <w:rPr/>
              <w:t> </w:t>
            </w:r>
          </w:p>
        </w:tc>
        <w:tc>
          <w:tcPr>
            <w:tcW w:w="1154" w:type="dxa"/>
            <w:gridSpan w:val="2"/>
            <w:tcBorders/>
            <w:shd w:fill="00548B" w:val="clear"/>
            <w:vAlign w:val="bottom"/>
          </w:tcPr>
          <w:p>
            <w:pPr>
              <w:pStyle w:val="TableContents"/>
              <w:spacing w:before="0" w:after="283"/>
              <w:jc w:val="center"/>
              <w:rPr>
                <w:b/>
                <w:color w:val="D8D8D8"/>
              </w:rPr>
            </w:pPr>
            <w:r>
              <w:rPr>
                <w:b/>
                <w:color w:val="D8D8D8"/>
              </w:rPr>
              <w:t>Stock</w:t>
              <w:br/>
              <w:t>Awards</w:t>
              <w:br/>
              <w:t>($)(1)(2)</w:t>
            </w:r>
          </w:p>
        </w:tc>
        <w:tc>
          <w:tcPr>
            <w:tcW w:w="66" w:type="dxa"/>
            <w:tcBorders/>
            <w:shd w:fill="00548B" w:val="clear"/>
            <w:vAlign w:val="bottom"/>
          </w:tcPr>
          <w:p>
            <w:pPr>
              <w:pStyle w:val="TableContents"/>
              <w:spacing w:before="0" w:after="283"/>
              <w:rPr/>
            </w:pPr>
            <w:r>
              <w:rPr/>
              <w:t> </w:t>
            </w:r>
          </w:p>
        </w:tc>
        <w:tc>
          <w:tcPr>
            <w:tcW w:w="66" w:type="dxa"/>
            <w:tcBorders/>
            <w:shd w:fill="00548B" w:val="clear"/>
            <w:vAlign w:val="bottom"/>
          </w:tcPr>
          <w:p>
            <w:pPr>
              <w:pStyle w:val="TableContents"/>
              <w:spacing w:before="0" w:after="283"/>
              <w:rPr/>
            </w:pPr>
            <w:r>
              <w:rPr/>
              <w:t> </w:t>
            </w:r>
          </w:p>
        </w:tc>
        <w:tc>
          <w:tcPr>
            <w:tcW w:w="1499" w:type="dxa"/>
            <w:gridSpan w:val="2"/>
            <w:tcBorders/>
            <w:shd w:fill="00548B" w:val="clear"/>
            <w:vAlign w:val="bottom"/>
          </w:tcPr>
          <w:p>
            <w:pPr>
              <w:pStyle w:val="TableContents"/>
              <w:spacing w:before="0" w:after="283"/>
              <w:jc w:val="center"/>
              <w:rPr>
                <w:b/>
                <w:color w:val="D8D8D8"/>
              </w:rPr>
            </w:pPr>
            <w:r>
              <w:rPr>
                <w:b/>
                <w:color w:val="D8D8D8"/>
              </w:rPr>
              <w:t>All Other</w:t>
              <w:br/>
              <w:t>Compensation</w:t>
              <w:br/>
              <w:t>($)(5)</w:t>
            </w:r>
          </w:p>
        </w:tc>
        <w:tc>
          <w:tcPr>
            <w:tcW w:w="65" w:type="dxa"/>
            <w:tcBorders/>
            <w:shd w:fill="00548B" w:val="clear"/>
            <w:vAlign w:val="bottom"/>
          </w:tcPr>
          <w:p>
            <w:pPr>
              <w:pStyle w:val="TableContents"/>
              <w:spacing w:before="0" w:after="283"/>
              <w:rPr/>
            </w:pPr>
            <w:r>
              <w:rPr/>
              <w:t> </w:t>
            </w:r>
          </w:p>
        </w:tc>
        <w:tc>
          <w:tcPr>
            <w:tcW w:w="66" w:type="dxa"/>
            <w:tcBorders/>
            <w:shd w:fill="00548B" w:val="clear"/>
            <w:vAlign w:val="bottom"/>
          </w:tcPr>
          <w:p>
            <w:pPr>
              <w:pStyle w:val="TableContents"/>
              <w:spacing w:before="0" w:after="283"/>
              <w:rPr/>
            </w:pPr>
            <w:r>
              <w:rPr/>
              <w:t> </w:t>
            </w:r>
          </w:p>
        </w:tc>
        <w:tc>
          <w:tcPr>
            <w:tcW w:w="1498" w:type="dxa"/>
            <w:gridSpan w:val="2"/>
            <w:tcBorders/>
            <w:shd w:fill="00548B" w:val="clear"/>
            <w:vAlign w:val="bottom"/>
          </w:tcPr>
          <w:p>
            <w:pPr>
              <w:pStyle w:val="TableContents"/>
              <w:spacing w:before="0" w:after="283"/>
              <w:jc w:val="center"/>
              <w:rPr>
                <w:b/>
                <w:color w:val="D8D8D8"/>
              </w:rPr>
            </w:pPr>
            <w:r>
              <w:rPr>
                <w:b/>
                <w:color w:val="D8D8D8"/>
              </w:rPr>
              <w:t>Total</w:t>
              <w:br/>
              <w:t>Compensation</w:t>
              <w:br/>
              <w:t>($)</w:t>
            </w:r>
          </w:p>
        </w:tc>
        <w:tc>
          <w:tcPr>
            <w:tcW w:w="78" w:type="dxa"/>
            <w:tcBorders/>
            <w:shd w:fill="00548B"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arial" w:hAnsi="arial"/>
                <w:b/>
                <w:color w:val="00548B"/>
                <w:sz w:val="14"/>
              </w:rPr>
            </w:pPr>
            <w:r>
              <w:rPr>
                <w:rFonts w:ascii="arial" w:hAnsi="arial"/>
                <w:b/>
                <w:color w:val="00548B"/>
                <w:sz w:val="14"/>
              </w:rPr>
              <w:t>James H. Roth</w:t>
            </w:r>
          </w:p>
        </w:tc>
        <w:tc>
          <w:tcPr>
            <w:tcW w:w="6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center"/>
              <w:rPr>
                <w:rFonts w:ascii="ARIAL" w:hAnsi="ARIAL"/>
              </w:rPr>
            </w:pPr>
            <w:r>
              <w:rPr>
                <w:rFonts w:ascii="ARIAL" w:hAnsi="ARIAL"/>
              </w:rPr>
              <w:t>2020</w:t>
            </w:r>
          </w:p>
        </w:tc>
        <w:tc>
          <w:tcPr>
            <w:tcW w:w="66"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center"/>
              <w:rPr>
                <w:rFonts w:ascii="ARIAL" w:hAnsi="ARIAL"/>
              </w:rPr>
            </w:pPr>
            <w:r>
              <w:rPr>
                <w:rFonts w:ascii="ARIAL" w:hAnsi="ARIAL"/>
              </w:rPr>
              <w:t>947,917</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right"/>
              <w:rPr>
                <w:rFonts w:ascii="ARIAL" w:hAnsi="ARIAL"/>
              </w:rPr>
            </w:pPr>
            <w:r>
              <w:rPr>
                <w:rFonts w:ascii="ARIAL" w:hAnsi="ARIAL"/>
              </w:rPr>
              <w:t>394,478</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470,022</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rFonts w:ascii="ARIAL" w:hAnsi="ARIAL"/>
              </w:rPr>
            </w:pPr>
            <w:r>
              <w:rPr>
                <w:rFonts w:ascii="ARIAL" w:hAnsi="ARIAL"/>
              </w:rPr>
              <w:t>2,137,486</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ARIAL" w:hAnsi="ARIAL"/>
              </w:rPr>
            </w:pPr>
            <w:r>
              <w:rPr>
                <w:rFonts w:ascii="ARIAL" w:hAnsi="ARIAL"/>
              </w:rPr>
              <w:t>41,543</w:t>
            </w:r>
          </w:p>
        </w:tc>
        <w:tc>
          <w:tcPr>
            <w:tcW w:w="6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3,991,446</w:t>
            </w:r>
          </w:p>
        </w:tc>
        <w:tc>
          <w:tcPr>
            <w:tcW w:w="78" w:type="dxa"/>
            <w:tcBorders/>
            <w:shd w:fill="auto"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arial" w:hAnsi="arial"/>
                <w:sz w:val="14"/>
              </w:rPr>
            </w:pPr>
            <w:r>
              <w:rPr>
                <w:rFonts w:ascii="arial" w:hAnsi="arial"/>
                <w:sz w:val="14"/>
              </w:rPr>
              <w:t>Chief Executive Officer</w:t>
            </w:r>
          </w:p>
        </w:tc>
        <w:tc>
          <w:tcPr>
            <w:tcW w:w="6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center"/>
              <w:rPr>
                <w:rFonts w:ascii="ARIAL" w:hAnsi="ARIAL"/>
              </w:rPr>
            </w:pPr>
            <w:r>
              <w:rPr>
                <w:rFonts w:ascii="ARIAL" w:hAnsi="ARIAL"/>
              </w:rPr>
              <w:t>2019</w:t>
            </w:r>
          </w:p>
        </w:tc>
        <w:tc>
          <w:tcPr>
            <w:tcW w:w="66"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center"/>
              <w:rPr>
                <w:rFonts w:ascii="ARIAL" w:hAnsi="ARIAL"/>
              </w:rPr>
            </w:pPr>
            <w:r>
              <w:rPr>
                <w:rFonts w:ascii="ARIAL" w:hAnsi="ARIAL"/>
              </w:rPr>
              <w:t>900,000</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7"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1,285,614</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rFonts w:ascii="ARIAL" w:hAnsi="ARIAL"/>
              </w:rPr>
            </w:pPr>
            <w:r>
              <w:rPr>
                <w:rFonts w:ascii="ARIAL" w:hAnsi="ARIAL"/>
              </w:rPr>
              <w:t>2,024,994</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ARIAL" w:hAnsi="ARIAL"/>
              </w:rPr>
            </w:pPr>
            <w:r>
              <w:rPr>
                <w:rFonts w:ascii="ARIAL" w:hAnsi="ARIAL"/>
              </w:rPr>
              <w:t>32,954</w:t>
            </w:r>
          </w:p>
        </w:tc>
        <w:tc>
          <w:tcPr>
            <w:tcW w:w="6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4,243,562</w:t>
            </w:r>
          </w:p>
        </w:tc>
        <w:tc>
          <w:tcPr>
            <w:tcW w:w="78" w:type="dxa"/>
            <w:tcBorders/>
            <w:shd w:fill="auto" w:val="clear"/>
            <w:vAlign w:val="bottom"/>
          </w:tcPr>
          <w:p>
            <w:pPr>
              <w:pStyle w:val="TableContents"/>
              <w:spacing w:before="0" w:after="283"/>
              <w:rPr/>
            </w:pPr>
            <w:r>
              <w:rPr/>
              <w:t> </w:t>
            </w:r>
          </w:p>
        </w:tc>
      </w:tr>
      <w:tr>
        <w:trPr/>
        <w:tc>
          <w:tcPr>
            <w:tcW w:w="1340" w:type="dxa"/>
            <w:tcBorders/>
            <w:shd w:fill="auto" w:val="clear"/>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center"/>
              <w:rPr>
                <w:rFonts w:ascii="ARIAL" w:hAnsi="ARIAL"/>
              </w:rPr>
            </w:pPr>
            <w:r>
              <w:rPr>
                <w:rFonts w:ascii="ARIAL" w:hAnsi="ARIAL"/>
              </w:rPr>
              <w:t>2018</w:t>
            </w:r>
          </w:p>
        </w:tc>
        <w:tc>
          <w:tcPr>
            <w:tcW w:w="66"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center"/>
              <w:rPr>
                <w:rFonts w:ascii="ARIAL" w:hAnsi="ARIAL"/>
              </w:rPr>
            </w:pPr>
            <w:r>
              <w:rPr>
                <w:rFonts w:ascii="ARIAL" w:hAnsi="ARIAL"/>
              </w:rPr>
              <w:t>900,000</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7"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1,158,597</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rFonts w:ascii="ARIAL" w:hAnsi="ARIAL"/>
              </w:rPr>
            </w:pPr>
            <w:r>
              <w:rPr>
                <w:rFonts w:ascii="ARIAL" w:hAnsi="ARIAL"/>
              </w:rPr>
              <w:t>2,700,010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ARIAL" w:hAnsi="ARIAL"/>
              </w:rPr>
            </w:pPr>
            <w:r>
              <w:rPr>
                <w:rFonts w:ascii="ARIAL" w:hAnsi="ARIAL"/>
              </w:rPr>
              <w:t>32,654</w:t>
            </w:r>
          </w:p>
        </w:tc>
        <w:tc>
          <w:tcPr>
            <w:tcW w:w="6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4,791,261</w:t>
            </w:r>
          </w:p>
        </w:tc>
        <w:tc>
          <w:tcPr>
            <w:tcW w:w="78" w:type="dxa"/>
            <w:tcBorders/>
            <w:shd w:fill="auto" w:val="clear"/>
            <w:vAlign w:val="bottom"/>
          </w:tcPr>
          <w:p>
            <w:pPr>
              <w:pStyle w:val="TableContents"/>
              <w:spacing w:before="0" w:after="283"/>
              <w:rPr/>
            </w:pPr>
            <w:r>
              <w:rPr/>
              <w:t> </w:t>
            </w:r>
          </w:p>
        </w:tc>
      </w:tr>
      <w:tr>
        <w:trPr/>
        <w:tc>
          <w:tcPr>
            <w:tcW w:w="1340" w:type="dxa"/>
            <w:tcBorders>
              <w:top w:val="single" w:sz="2" w:space="0" w:color="999999"/>
            </w:tcBorders>
            <w:shd w:fill="auto" w:val="clear"/>
            <w:tcMar>
              <w:top w:w="28" w:type="dxa"/>
            </w:tcMar>
          </w:tcPr>
          <w:p>
            <w:pPr>
              <w:pStyle w:val="TableContents"/>
              <w:spacing w:before="0" w:after="0"/>
              <w:rPr/>
            </w:pPr>
            <w:r>
              <w:rPr/>
              <w:t> </w:t>
            </w:r>
          </w:p>
          <w:p>
            <w:pPr>
              <w:pStyle w:val="TableContents"/>
              <w:spacing w:before="0" w:after="20"/>
              <w:rPr>
                <w:rFonts w:ascii="arial" w:hAnsi="arial"/>
                <w:b/>
                <w:color w:val="00548B"/>
                <w:sz w:val="14"/>
              </w:rPr>
            </w:pPr>
            <w:r>
              <w:rPr>
                <w:rFonts w:ascii="arial" w:hAnsi="arial"/>
                <w:b/>
                <w:color w:val="00548B"/>
                <w:sz w:val="14"/>
              </w:rPr>
              <w:t>C. Mark Hussey</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560"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2020</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897"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797,917</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897"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237,280</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77" w:type="dxa"/>
            <w:tcBorders>
              <w:top w:val="single" w:sz="2" w:space="0" w:color="999999"/>
            </w:tcBorders>
            <w:shd w:fill="auto" w:val="clear"/>
            <w:tcMar>
              <w:top w:w="28" w:type="dxa"/>
            </w:tcMar>
            <w:vAlign w:val="bottom"/>
          </w:tcPr>
          <w:p>
            <w:pPr>
              <w:pStyle w:val="TableContents"/>
              <w:spacing w:before="0" w:after="283"/>
              <w:rPr/>
            </w:pPr>
            <w:r>
              <w:rPr/>
              <w:t> </w:t>
            </w:r>
          </w:p>
        </w:tc>
        <w:tc>
          <w:tcPr>
            <w:tcW w:w="142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282,720</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94"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1,400,009</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109" w:type="dxa"/>
            <w:tcBorders>
              <w:top w:val="single" w:sz="2" w:space="0" w:color="999999"/>
            </w:tcBorders>
            <w:shd w:fill="auto" w:val="clear"/>
            <w:tcMar>
              <w:top w:w="28" w:type="dxa"/>
            </w:tcMar>
            <w:vAlign w:val="bottom"/>
          </w:tcPr>
          <w:p>
            <w:pPr>
              <w:pStyle w:val="TableContents"/>
              <w:spacing w:before="0" w:after="283"/>
              <w:rPr/>
            </w:pPr>
            <w:r>
              <w:rPr/>
              <w:t> </w:t>
            </w:r>
          </w:p>
        </w:tc>
        <w:tc>
          <w:tcPr>
            <w:tcW w:w="139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32,650</w:t>
            </w:r>
          </w:p>
        </w:tc>
        <w:tc>
          <w:tcPr>
            <w:tcW w:w="65" w:type="dxa"/>
            <w:tcBorders>
              <w:top w:val="single" w:sz="2" w:space="0" w:color="999999"/>
            </w:tcBorders>
            <w:shd w:fill="auto" w:val="clear"/>
            <w:tcMar>
              <w:top w:w="28" w:type="dxa"/>
            </w:tcMar>
            <w:vAlign w:val="bottom"/>
          </w:tcPr>
          <w:p>
            <w:pPr>
              <w:pStyle w:val="TableContents"/>
              <w:spacing w:before="0" w:after="283"/>
              <w:rPr/>
            </w:pPr>
            <w:r>
              <w:rPr/>
              <w:t> </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78" w:type="dxa"/>
            <w:tcBorders>
              <w:top w:val="single" w:sz="2" w:space="0" w:color="999999"/>
            </w:tcBorders>
            <w:shd w:fill="auto" w:val="clear"/>
            <w:tcMar>
              <w:top w:w="28" w:type="dxa"/>
            </w:tcMar>
            <w:vAlign w:val="bottom"/>
          </w:tcPr>
          <w:p>
            <w:pPr>
              <w:pStyle w:val="TableContents"/>
              <w:spacing w:before="0" w:after="283"/>
              <w:rPr/>
            </w:pPr>
            <w:r>
              <w:rPr/>
              <w:t> </w:t>
            </w:r>
          </w:p>
        </w:tc>
        <w:tc>
          <w:tcPr>
            <w:tcW w:w="142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2,750,576</w:t>
            </w:r>
          </w:p>
        </w:tc>
        <w:tc>
          <w:tcPr>
            <w:tcW w:w="78" w:type="dxa"/>
            <w:tcBorders>
              <w:top w:val="single" w:sz="2" w:space="0" w:color="999999"/>
            </w:tcBorders>
            <w:shd w:fill="auto" w:val="clear"/>
            <w:tcMar>
              <w:top w:w="28" w:type="dxa"/>
            </w:tcM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arial" w:hAnsi="arial"/>
                <w:sz w:val="14"/>
              </w:rPr>
            </w:pPr>
            <w:r>
              <w:rPr>
                <w:rFonts w:ascii="arial" w:hAnsi="arial"/>
                <w:sz w:val="14"/>
              </w:rPr>
              <w:t>President and</w:t>
            </w:r>
          </w:p>
        </w:tc>
        <w:tc>
          <w:tcPr>
            <w:tcW w:w="6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center"/>
              <w:rPr>
                <w:rFonts w:ascii="ARIAL" w:hAnsi="ARIAL"/>
              </w:rPr>
            </w:pPr>
            <w:r>
              <w:rPr>
                <w:rFonts w:ascii="ARIAL" w:hAnsi="ARIAL"/>
              </w:rPr>
              <w:t>2019</w:t>
            </w:r>
          </w:p>
        </w:tc>
        <w:tc>
          <w:tcPr>
            <w:tcW w:w="66"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center"/>
              <w:rPr>
                <w:rFonts w:ascii="ARIAL" w:hAnsi="ARIAL"/>
              </w:rPr>
            </w:pPr>
            <w:r>
              <w:rPr>
                <w:rFonts w:ascii="ARIAL" w:hAnsi="ARIAL"/>
              </w:rPr>
              <w:t>750,000</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7"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973,950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rFonts w:ascii="ARIAL" w:hAnsi="ARIAL"/>
              </w:rPr>
            </w:pPr>
            <w:r>
              <w:rPr>
                <w:rFonts w:ascii="ARIAL" w:hAnsi="ARIAL"/>
              </w:rPr>
              <w:t>1,312,515</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ARIAL" w:hAnsi="ARIAL"/>
              </w:rPr>
            </w:pPr>
            <w:r>
              <w:rPr>
                <w:rFonts w:ascii="ARIAL" w:hAnsi="ARIAL"/>
              </w:rPr>
              <w:t>31,575</w:t>
            </w:r>
          </w:p>
        </w:tc>
        <w:tc>
          <w:tcPr>
            <w:tcW w:w="6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3,068,040</w:t>
            </w:r>
          </w:p>
        </w:tc>
        <w:tc>
          <w:tcPr>
            <w:tcW w:w="78" w:type="dxa"/>
            <w:tcBorders/>
            <w:shd w:fill="auto" w:val="clear"/>
            <w:vAlign w:val="bottom"/>
          </w:tcPr>
          <w:p>
            <w:pPr>
              <w:pStyle w:val="TableContents"/>
              <w:spacing w:before="0" w:after="283"/>
              <w:rPr/>
            </w:pPr>
            <w:r>
              <w:rPr/>
              <w:t> </w:t>
            </w:r>
          </w:p>
        </w:tc>
      </w:tr>
      <w:tr>
        <w:trPr/>
        <w:tc>
          <w:tcPr>
            <w:tcW w:w="1340" w:type="dxa"/>
            <w:tcBorders>
              <w:bottom w:val="single" w:sz="2" w:space="0" w:color="999999"/>
            </w:tcBorders>
            <w:shd w:fill="auto" w:val="clear"/>
            <w:tcMar>
              <w:bottom w:w="60" w:type="dxa"/>
            </w:tcMar>
          </w:tcPr>
          <w:p>
            <w:pPr>
              <w:pStyle w:val="TableContents"/>
              <w:spacing w:before="0" w:after="0"/>
              <w:rPr>
                <w:rFonts w:ascii="arial" w:hAnsi="arial"/>
                <w:sz w:val="14"/>
              </w:rPr>
            </w:pPr>
            <w:r>
              <w:rPr>
                <w:rFonts w:ascii="arial" w:hAnsi="arial"/>
                <w:sz w:val="14"/>
              </w:rPr>
              <w:t>Chief Operating Officer</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560" w:type="dxa"/>
            <w:tcBorders>
              <w:bottom w:val="single" w:sz="2" w:space="0" w:color="999999"/>
            </w:tcBorders>
            <w:shd w:fill="auto" w:val="clear"/>
            <w:tcMar>
              <w:bottom w:w="60" w:type="dxa"/>
            </w:tcMar>
            <w:vAlign w:val="bottom"/>
          </w:tcPr>
          <w:p>
            <w:pPr>
              <w:pStyle w:val="TableContents"/>
              <w:spacing w:before="0" w:after="283"/>
              <w:jc w:val="center"/>
              <w:rPr>
                <w:rFonts w:ascii="ARIAL" w:hAnsi="ARIAL"/>
              </w:rPr>
            </w:pPr>
            <w:r>
              <w:rPr>
                <w:rFonts w:ascii="ARIAL" w:hAnsi="ARIAL"/>
              </w:rPr>
              <w:t>2018</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897" w:type="dxa"/>
            <w:tcBorders>
              <w:bottom w:val="single" w:sz="2" w:space="0" w:color="999999"/>
            </w:tcBorders>
            <w:shd w:fill="auto" w:val="clear"/>
            <w:tcMar>
              <w:bottom w:w="60" w:type="dxa"/>
            </w:tcMar>
            <w:vAlign w:val="bottom"/>
          </w:tcPr>
          <w:p>
            <w:pPr>
              <w:pStyle w:val="TableContents"/>
              <w:spacing w:before="0" w:after="283"/>
              <w:jc w:val="center"/>
              <w:rPr>
                <w:rFonts w:ascii="ARIAL" w:hAnsi="ARIAL"/>
              </w:rPr>
            </w:pPr>
            <w:r>
              <w:rPr>
                <w:rFonts w:ascii="ARIAL" w:hAnsi="ARIAL"/>
              </w:rPr>
              <w:t>750,000</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7" w:type="dxa"/>
            <w:tcBorders>
              <w:bottom w:val="single" w:sz="2" w:space="0" w:color="999999"/>
            </w:tcBorders>
            <w:shd w:fill="auto" w:val="clear"/>
            <w:tcMar>
              <w:bottom w:w="28" w:type="dxa"/>
            </w:tcMar>
            <w:vAlign w:val="bottom"/>
          </w:tcPr>
          <w:p>
            <w:pPr>
              <w:pStyle w:val="TableContents"/>
              <w:spacing w:before="0" w:after="283"/>
              <w:rPr/>
            </w:pPr>
            <w:r>
              <w:rPr/>
              <w:t> </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77" w:type="dxa"/>
            <w:tcBorders>
              <w:bottom w:val="single" w:sz="2" w:space="0" w:color="999999"/>
            </w:tcBorders>
            <w:shd w:fill="auto" w:val="clear"/>
            <w:tcMar>
              <w:bottom w:w="60" w:type="dxa"/>
            </w:tcMar>
            <w:vAlign w:val="bottom"/>
          </w:tcPr>
          <w:p>
            <w:pPr>
              <w:pStyle w:val="TableContents"/>
              <w:spacing w:before="0" w:after="283"/>
              <w:rPr/>
            </w:pPr>
            <w:r>
              <w:rPr/>
              <w:t> </w:t>
            </w:r>
          </w:p>
        </w:tc>
        <w:tc>
          <w:tcPr>
            <w:tcW w:w="1420" w:type="dxa"/>
            <w:tcBorders>
              <w:bottom w:val="single" w:sz="2" w:space="0" w:color="999999"/>
            </w:tcBorders>
            <w:shd w:fill="auto" w:val="clear"/>
            <w:tcMar>
              <w:bottom w:w="60" w:type="dxa"/>
            </w:tcMar>
            <w:vAlign w:val="bottom"/>
          </w:tcPr>
          <w:p>
            <w:pPr>
              <w:pStyle w:val="TableContents"/>
              <w:spacing w:before="0" w:after="283"/>
              <w:jc w:val="right"/>
              <w:rPr>
                <w:rFonts w:ascii="ARIAL" w:hAnsi="ARIAL"/>
              </w:rPr>
            </w:pPr>
            <w:r>
              <w:rPr>
                <w:rFonts w:ascii="ARIAL" w:hAnsi="ARIAL"/>
              </w:rPr>
              <w:t>877,725</w:t>
            </w:r>
          </w:p>
        </w:tc>
        <w:tc>
          <w:tcPr>
            <w:tcW w:w="66" w:type="dxa"/>
            <w:tcBorders>
              <w:bottom w:val="single" w:sz="2" w:space="0" w:color="999999"/>
            </w:tcBorders>
            <w:shd w:fill="auto" w:val="clear"/>
            <w:tcMar>
              <w:bottom w:w="60" w:type="dxa"/>
            </w:tcMar>
            <w:vAlign w:val="bottom"/>
          </w:tcPr>
          <w:p>
            <w:pPr>
              <w:pStyle w:val="TableContents"/>
              <w:spacing w:before="0" w:after="283"/>
              <w:rPr/>
            </w:pPr>
            <w:r>
              <w:rPr/>
              <w:t> </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60" w:type="dxa"/>
            </w:tcMar>
            <w:vAlign w:val="bottom"/>
          </w:tcPr>
          <w:p>
            <w:pPr>
              <w:pStyle w:val="TableContents"/>
              <w:spacing w:before="0" w:after="283"/>
              <w:rPr/>
            </w:pPr>
            <w:r>
              <w:rPr/>
              <w:t> </w:t>
            </w:r>
          </w:p>
        </w:tc>
        <w:tc>
          <w:tcPr>
            <w:tcW w:w="1094" w:type="dxa"/>
            <w:tcBorders>
              <w:bottom w:val="single" w:sz="2" w:space="0" w:color="999999"/>
            </w:tcBorders>
            <w:shd w:fill="auto" w:val="clear"/>
            <w:tcMar>
              <w:bottom w:w="60" w:type="dxa"/>
            </w:tcMar>
            <w:vAlign w:val="bottom"/>
          </w:tcPr>
          <w:p>
            <w:pPr>
              <w:pStyle w:val="TableContents"/>
              <w:spacing w:before="0" w:after="283"/>
              <w:jc w:val="right"/>
              <w:rPr>
                <w:rFonts w:ascii="ARIAL" w:hAnsi="ARIAL"/>
              </w:rPr>
            </w:pPr>
            <w:r>
              <w:rPr>
                <w:rFonts w:ascii="ARIAL" w:hAnsi="ARIAL"/>
              </w:rPr>
              <w:t>1,312,500</w:t>
            </w:r>
          </w:p>
        </w:tc>
        <w:tc>
          <w:tcPr>
            <w:tcW w:w="66" w:type="dxa"/>
            <w:tcBorders>
              <w:bottom w:val="single" w:sz="2" w:space="0" w:color="999999"/>
            </w:tcBorders>
            <w:shd w:fill="auto" w:val="clear"/>
            <w:tcMar>
              <w:bottom w:w="60" w:type="dxa"/>
            </w:tcMar>
            <w:vAlign w:val="bottom"/>
          </w:tcPr>
          <w:p>
            <w:pPr>
              <w:pStyle w:val="TableContents"/>
              <w:spacing w:before="0" w:after="283"/>
              <w:rPr/>
            </w:pPr>
            <w:r>
              <w:rPr/>
              <w:t> </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109" w:type="dxa"/>
            <w:tcBorders>
              <w:bottom w:val="single" w:sz="2" w:space="0" w:color="999999"/>
            </w:tcBorders>
            <w:shd w:fill="auto" w:val="clear"/>
            <w:tcMar>
              <w:bottom w:w="60" w:type="dxa"/>
            </w:tcMar>
            <w:vAlign w:val="bottom"/>
          </w:tcPr>
          <w:p>
            <w:pPr>
              <w:pStyle w:val="TableContents"/>
              <w:spacing w:before="0" w:after="283"/>
              <w:rPr/>
            </w:pPr>
            <w:r>
              <w:rPr/>
              <w:t> </w:t>
            </w:r>
          </w:p>
        </w:tc>
        <w:tc>
          <w:tcPr>
            <w:tcW w:w="1390" w:type="dxa"/>
            <w:tcBorders>
              <w:bottom w:val="single" w:sz="2" w:space="0" w:color="999999"/>
            </w:tcBorders>
            <w:shd w:fill="auto" w:val="clear"/>
            <w:tcMar>
              <w:bottom w:w="60" w:type="dxa"/>
            </w:tcMar>
            <w:vAlign w:val="bottom"/>
          </w:tcPr>
          <w:p>
            <w:pPr>
              <w:pStyle w:val="TableContents"/>
              <w:spacing w:before="0" w:after="283"/>
              <w:jc w:val="right"/>
              <w:rPr>
                <w:rFonts w:ascii="ARIAL" w:hAnsi="ARIAL"/>
              </w:rPr>
            </w:pPr>
            <w:r>
              <w:rPr>
                <w:rFonts w:ascii="ARIAL" w:hAnsi="ARIAL"/>
              </w:rPr>
              <w:t>31,750</w:t>
            </w:r>
          </w:p>
        </w:tc>
        <w:tc>
          <w:tcPr>
            <w:tcW w:w="65" w:type="dxa"/>
            <w:tcBorders>
              <w:bottom w:val="single" w:sz="2" w:space="0" w:color="999999"/>
            </w:tcBorders>
            <w:shd w:fill="auto" w:val="clear"/>
            <w:tcMar>
              <w:bottom w:w="60" w:type="dxa"/>
            </w:tcMar>
            <w:vAlign w:val="bottom"/>
          </w:tcPr>
          <w:p>
            <w:pPr>
              <w:pStyle w:val="TableContents"/>
              <w:spacing w:before="0" w:after="283"/>
              <w:rPr/>
            </w:pPr>
            <w:r>
              <w:rPr/>
              <w:t> </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60" w:type="dxa"/>
            </w:tcMar>
            <w:vAlign w:val="bottom"/>
          </w:tcPr>
          <w:p>
            <w:pPr>
              <w:pStyle w:val="TableContents"/>
              <w:spacing w:before="0" w:after="283"/>
              <w:rPr/>
            </w:pPr>
            <w:r>
              <w:rPr/>
              <w:t> </w:t>
            </w:r>
          </w:p>
        </w:tc>
        <w:tc>
          <w:tcPr>
            <w:tcW w:w="1420" w:type="dxa"/>
            <w:tcBorders>
              <w:bottom w:val="single" w:sz="2" w:space="0" w:color="999999"/>
            </w:tcBorders>
            <w:shd w:fill="auto" w:val="clear"/>
            <w:tcMar>
              <w:bottom w:w="60" w:type="dxa"/>
            </w:tcMar>
            <w:vAlign w:val="bottom"/>
          </w:tcPr>
          <w:p>
            <w:pPr>
              <w:pStyle w:val="TableContents"/>
              <w:spacing w:before="0" w:after="283"/>
              <w:jc w:val="right"/>
              <w:rPr>
                <w:rFonts w:ascii="ARIAL" w:hAnsi="ARIAL"/>
              </w:rPr>
            </w:pPr>
            <w:r>
              <w:rPr>
                <w:rFonts w:ascii="ARIAL" w:hAnsi="ARIAL"/>
              </w:rPr>
              <w:t>2,971,975</w:t>
            </w:r>
          </w:p>
        </w:tc>
        <w:tc>
          <w:tcPr>
            <w:tcW w:w="78" w:type="dxa"/>
            <w:tcBorders>
              <w:bottom w:val="single" w:sz="2" w:space="0" w:color="999999"/>
            </w:tcBorders>
            <w:shd w:fill="auto" w:val="clear"/>
            <w:tcMar>
              <w:bottom w:w="60" w:type="dxa"/>
            </w:tcMar>
            <w:vAlign w:val="bottom"/>
          </w:tcPr>
          <w:p>
            <w:pPr>
              <w:pStyle w:val="TableContents"/>
              <w:spacing w:before="0" w:after="283"/>
              <w:rPr/>
            </w:pPr>
            <w:r>
              <w:rPr/>
              <w:t> </w:t>
            </w:r>
          </w:p>
        </w:tc>
      </w:tr>
      <w:tr>
        <w:trPr/>
        <w:tc>
          <w:tcPr>
            <w:tcW w:w="1340" w:type="dxa"/>
            <w:tcBorders/>
            <w:shd w:fill="auto" w:val="clear"/>
          </w:tcPr>
          <w:p>
            <w:pPr>
              <w:pStyle w:val="TableContents"/>
              <w:spacing w:before="0" w:after="0"/>
              <w:rPr/>
            </w:pPr>
            <w:r>
              <w:rPr/>
              <w:t> </w:t>
            </w:r>
          </w:p>
          <w:p>
            <w:pPr>
              <w:pStyle w:val="TableContents"/>
              <w:spacing w:before="0" w:after="20"/>
              <w:rPr>
                <w:rFonts w:ascii="arial" w:hAnsi="arial"/>
                <w:b/>
                <w:color w:val="00548B"/>
                <w:sz w:val="14"/>
              </w:rPr>
            </w:pPr>
            <w:r>
              <w:rPr>
                <w:rFonts w:ascii="arial" w:hAnsi="arial"/>
                <w:b/>
                <w:color w:val="00548B"/>
                <w:sz w:val="14"/>
              </w:rPr>
              <w:t>John D. Kelly</w:t>
            </w:r>
          </w:p>
        </w:tc>
        <w:tc>
          <w:tcPr>
            <w:tcW w:w="6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center"/>
              <w:rPr>
                <w:rFonts w:ascii="ARIAL" w:hAnsi="ARIAL"/>
              </w:rPr>
            </w:pPr>
            <w:r>
              <w:rPr>
                <w:rFonts w:ascii="ARIAL" w:hAnsi="ARIAL"/>
              </w:rPr>
              <w:t>2020</w:t>
            </w:r>
          </w:p>
        </w:tc>
        <w:tc>
          <w:tcPr>
            <w:tcW w:w="66"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center"/>
              <w:rPr>
                <w:rFonts w:ascii="ARIAL" w:hAnsi="ARIAL"/>
              </w:rPr>
            </w:pPr>
            <w:r>
              <w:rPr>
                <w:rFonts w:ascii="ARIAL" w:hAnsi="ARIAL"/>
              </w:rPr>
              <w:t>522,292</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right"/>
              <w:rPr>
                <w:rFonts w:ascii="ARIAL" w:hAnsi="ARIAL"/>
              </w:rPr>
            </w:pPr>
            <w:r>
              <w:rPr>
                <w:rFonts w:ascii="ARIAL" w:hAnsi="ARIAL"/>
              </w:rPr>
              <w:t>140,144</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166,982</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rFonts w:ascii="ARIAL" w:hAnsi="ARIAL"/>
              </w:rPr>
            </w:pPr>
            <w:r>
              <w:rPr>
                <w:rFonts w:ascii="ARIAL" w:hAnsi="ARIAL"/>
              </w:rPr>
              <w:t>1,537,500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ARIAL" w:hAnsi="ARIAL"/>
              </w:rPr>
            </w:pPr>
            <w:r>
              <w:rPr>
                <w:rFonts w:ascii="ARIAL" w:hAnsi="ARIAL"/>
              </w:rPr>
              <w:t>26,677</w:t>
            </w:r>
          </w:p>
        </w:tc>
        <w:tc>
          <w:tcPr>
            <w:tcW w:w="6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2,393,595</w:t>
            </w:r>
          </w:p>
        </w:tc>
        <w:tc>
          <w:tcPr>
            <w:tcW w:w="78" w:type="dxa"/>
            <w:tcBorders/>
            <w:shd w:fill="auto" w:val="clear"/>
            <w:vAlign w:val="bottom"/>
          </w:tcPr>
          <w:p>
            <w:pPr>
              <w:pStyle w:val="TableContents"/>
              <w:spacing w:before="0" w:after="283"/>
              <w:rPr/>
            </w:pPr>
            <w:r>
              <w:rPr/>
              <w:t> </w:t>
            </w:r>
          </w:p>
        </w:tc>
      </w:tr>
      <w:tr>
        <w:trPr/>
        <w:tc>
          <w:tcPr>
            <w:tcW w:w="1340" w:type="dxa"/>
            <w:vMerge w:val="restart"/>
            <w:tcBorders>
              <w:bottom w:val="single" w:sz="2" w:space="0" w:color="999999"/>
            </w:tcBorders>
            <w:shd w:fill="auto" w:val="clear"/>
            <w:tcMar>
              <w:bottom w:w="28" w:type="dxa"/>
            </w:tcMar>
          </w:tcPr>
          <w:p>
            <w:pPr>
              <w:pStyle w:val="TableContents"/>
              <w:spacing w:before="0" w:after="0"/>
              <w:rPr>
                <w:rFonts w:ascii="arial" w:hAnsi="arial"/>
                <w:sz w:val="14"/>
              </w:rPr>
            </w:pPr>
            <w:r>
              <w:rPr>
                <w:rFonts w:ascii="arial" w:hAnsi="arial"/>
                <w:sz w:val="14"/>
              </w:rPr>
              <w:t>Executive Vice President,</w:t>
            </w:r>
          </w:p>
          <w:p>
            <w:pPr>
              <w:pStyle w:val="TableContents"/>
              <w:spacing w:before="0" w:after="20"/>
              <w:rPr>
                <w:rFonts w:ascii="arial" w:hAnsi="arial"/>
                <w:sz w:val="14"/>
              </w:rPr>
            </w:pPr>
            <w:r>
              <w:rPr>
                <w:rFonts w:ascii="arial" w:hAnsi="arial"/>
                <w:sz w:val="14"/>
              </w:rPr>
              <w:t>Chief Financial Officer and Treasurer</w:t>
            </w:r>
          </w:p>
        </w:tc>
        <w:tc>
          <w:tcPr>
            <w:tcW w:w="6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center"/>
              <w:rPr>
                <w:rFonts w:ascii="ARIAL" w:hAnsi="ARIAL"/>
              </w:rPr>
            </w:pPr>
            <w:r>
              <w:rPr>
                <w:rFonts w:ascii="ARIAL" w:hAnsi="ARIAL"/>
              </w:rPr>
              <w:t>2019</w:t>
            </w:r>
          </w:p>
        </w:tc>
        <w:tc>
          <w:tcPr>
            <w:tcW w:w="66"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center"/>
              <w:rPr>
                <w:rFonts w:ascii="ARIAL" w:hAnsi="ARIAL"/>
              </w:rPr>
            </w:pPr>
            <w:r>
              <w:rPr>
                <w:rFonts w:ascii="ARIAL" w:hAnsi="ARIAL"/>
              </w:rPr>
              <w:t>457,500</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7"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418,149</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rFonts w:ascii="ARIAL" w:hAnsi="ARIAL"/>
              </w:rPr>
            </w:pPr>
            <w:r>
              <w:rPr>
                <w:rFonts w:ascii="ARIAL" w:hAnsi="ARIAL"/>
              </w:rPr>
              <w:t>690,001</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ARIAL" w:hAnsi="ARIAL"/>
              </w:rPr>
            </w:pPr>
            <w:r>
              <w:rPr>
                <w:rFonts w:ascii="ARIAL" w:hAnsi="ARIAL"/>
              </w:rPr>
              <w:t>25,473</w:t>
            </w:r>
          </w:p>
        </w:tc>
        <w:tc>
          <w:tcPr>
            <w:tcW w:w="6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1,591,123</w:t>
            </w:r>
          </w:p>
        </w:tc>
        <w:tc>
          <w:tcPr>
            <w:tcW w:w="78" w:type="dxa"/>
            <w:tcBorders/>
            <w:shd w:fill="auto" w:val="clear"/>
            <w:vAlign w:val="bottom"/>
          </w:tcPr>
          <w:p>
            <w:pPr>
              <w:pStyle w:val="TableContents"/>
              <w:spacing w:before="0" w:after="283"/>
              <w:rPr/>
            </w:pPr>
            <w:r>
              <w:rPr/>
              <w:t> </w:t>
            </w:r>
          </w:p>
        </w:tc>
      </w:tr>
      <w:tr>
        <w:trPr/>
        <w:tc>
          <w:tcPr>
            <w:tcW w:w="1340" w:type="dxa"/>
            <w:vMerge w:val="continue"/>
            <w:tcBorders>
              <w:bottom w:val="single" w:sz="2" w:space="0" w:color="999999"/>
            </w:tcBorders>
            <w:shd w:fill="auto" w:val="clear"/>
            <w:tcMar>
              <w:bottom w:w="28" w:type="dxa"/>
            </w:tcMar>
          </w:tcPr>
          <w:p>
            <w:pPr>
              <w:pStyle w:val="Normal"/>
              <w:rPr/>
            </w:pPr>
            <w:r>
              <w:rPr/>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560" w:type="dxa"/>
            <w:tcBorders>
              <w:bottom w:val="single" w:sz="2" w:space="0" w:color="999999"/>
            </w:tcBorders>
            <w:shd w:fill="auto" w:val="clear"/>
            <w:tcMar>
              <w:bottom w:w="60" w:type="dxa"/>
            </w:tcMar>
            <w:vAlign w:val="bottom"/>
          </w:tcPr>
          <w:p>
            <w:pPr>
              <w:pStyle w:val="TableContents"/>
              <w:spacing w:before="0" w:after="283"/>
              <w:jc w:val="center"/>
              <w:rPr>
                <w:rFonts w:ascii="ARIAL" w:hAnsi="ARIAL"/>
              </w:rPr>
            </w:pPr>
            <w:r>
              <w:rPr>
                <w:rFonts w:ascii="ARIAL" w:hAnsi="ARIAL"/>
              </w:rPr>
              <w:t>2018</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897" w:type="dxa"/>
            <w:tcBorders>
              <w:bottom w:val="single" w:sz="2" w:space="0" w:color="999999"/>
            </w:tcBorders>
            <w:shd w:fill="auto" w:val="clear"/>
            <w:tcMar>
              <w:bottom w:w="60" w:type="dxa"/>
            </w:tcMar>
            <w:vAlign w:val="bottom"/>
          </w:tcPr>
          <w:p>
            <w:pPr>
              <w:pStyle w:val="TableContents"/>
              <w:spacing w:before="0" w:after="283"/>
              <w:jc w:val="center"/>
              <w:rPr>
                <w:rFonts w:ascii="ARIAL" w:hAnsi="ARIAL"/>
              </w:rPr>
            </w:pPr>
            <w:r>
              <w:rPr>
                <w:rFonts w:ascii="ARIAL" w:hAnsi="ARIAL"/>
              </w:rPr>
              <w:t>396,875</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7" w:type="dxa"/>
            <w:tcBorders>
              <w:bottom w:val="single" w:sz="2" w:space="0" w:color="999999"/>
            </w:tcBorders>
            <w:shd w:fill="auto" w:val="clear"/>
            <w:tcMar>
              <w:bottom w:w="28" w:type="dxa"/>
            </w:tcMar>
            <w:vAlign w:val="bottom"/>
          </w:tcPr>
          <w:p>
            <w:pPr>
              <w:pStyle w:val="TableContents"/>
              <w:spacing w:before="0" w:after="283"/>
              <w:rPr/>
            </w:pPr>
            <w:r>
              <w:rPr/>
              <w:t> </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77" w:type="dxa"/>
            <w:tcBorders>
              <w:bottom w:val="single" w:sz="2" w:space="0" w:color="999999"/>
            </w:tcBorders>
            <w:shd w:fill="auto" w:val="clear"/>
            <w:tcMar>
              <w:bottom w:w="60" w:type="dxa"/>
            </w:tcMar>
            <w:vAlign w:val="bottom"/>
          </w:tcPr>
          <w:p>
            <w:pPr>
              <w:pStyle w:val="TableContents"/>
              <w:spacing w:before="0" w:after="283"/>
              <w:rPr/>
            </w:pPr>
            <w:r>
              <w:rPr/>
              <w:t> </w:t>
            </w:r>
          </w:p>
        </w:tc>
        <w:tc>
          <w:tcPr>
            <w:tcW w:w="1420" w:type="dxa"/>
            <w:tcBorders>
              <w:bottom w:val="single" w:sz="2" w:space="0" w:color="999999"/>
            </w:tcBorders>
            <w:shd w:fill="auto" w:val="clear"/>
            <w:tcMar>
              <w:bottom w:w="60" w:type="dxa"/>
            </w:tcMar>
            <w:vAlign w:val="bottom"/>
          </w:tcPr>
          <w:p>
            <w:pPr>
              <w:pStyle w:val="TableContents"/>
              <w:spacing w:before="0" w:after="283"/>
              <w:jc w:val="right"/>
              <w:rPr>
                <w:rFonts w:ascii="ARIAL" w:hAnsi="ARIAL"/>
              </w:rPr>
            </w:pPr>
            <w:r>
              <w:rPr>
                <w:rFonts w:ascii="ARIAL" w:hAnsi="ARIAL"/>
              </w:rPr>
              <w:t>327,684</w:t>
            </w:r>
          </w:p>
        </w:tc>
        <w:tc>
          <w:tcPr>
            <w:tcW w:w="66" w:type="dxa"/>
            <w:tcBorders>
              <w:bottom w:val="single" w:sz="2" w:space="0" w:color="999999"/>
            </w:tcBorders>
            <w:shd w:fill="auto" w:val="clear"/>
            <w:tcMar>
              <w:bottom w:w="60" w:type="dxa"/>
            </w:tcMar>
            <w:vAlign w:val="bottom"/>
          </w:tcPr>
          <w:p>
            <w:pPr>
              <w:pStyle w:val="TableContents"/>
              <w:spacing w:before="0" w:after="283"/>
              <w:rPr/>
            </w:pPr>
            <w:r>
              <w:rPr/>
              <w:t> </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60" w:type="dxa"/>
            </w:tcMar>
            <w:vAlign w:val="bottom"/>
          </w:tcPr>
          <w:p>
            <w:pPr>
              <w:pStyle w:val="TableContents"/>
              <w:spacing w:before="0" w:after="283"/>
              <w:rPr/>
            </w:pPr>
            <w:r>
              <w:rPr/>
              <w:t> </w:t>
            </w:r>
          </w:p>
        </w:tc>
        <w:tc>
          <w:tcPr>
            <w:tcW w:w="1094" w:type="dxa"/>
            <w:tcBorders>
              <w:bottom w:val="single" w:sz="2" w:space="0" w:color="999999"/>
            </w:tcBorders>
            <w:shd w:fill="auto" w:val="clear"/>
            <w:tcMar>
              <w:bottom w:w="60" w:type="dxa"/>
            </w:tcMar>
            <w:vAlign w:val="bottom"/>
          </w:tcPr>
          <w:p>
            <w:pPr>
              <w:pStyle w:val="TableContents"/>
              <w:spacing w:before="0" w:after="283"/>
              <w:jc w:val="right"/>
              <w:rPr>
                <w:rFonts w:ascii="ARIAL" w:hAnsi="ARIAL"/>
              </w:rPr>
            </w:pPr>
            <w:r>
              <w:rPr>
                <w:rFonts w:ascii="ARIAL" w:hAnsi="ARIAL"/>
              </w:rPr>
              <w:t>479,999</w:t>
            </w:r>
          </w:p>
        </w:tc>
        <w:tc>
          <w:tcPr>
            <w:tcW w:w="66" w:type="dxa"/>
            <w:tcBorders>
              <w:bottom w:val="single" w:sz="2" w:space="0" w:color="999999"/>
            </w:tcBorders>
            <w:shd w:fill="auto" w:val="clear"/>
            <w:tcMar>
              <w:bottom w:w="60" w:type="dxa"/>
            </w:tcMar>
            <w:vAlign w:val="bottom"/>
          </w:tcPr>
          <w:p>
            <w:pPr>
              <w:pStyle w:val="TableContents"/>
              <w:spacing w:before="0" w:after="283"/>
              <w:rPr/>
            </w:pPr>
            <w:r>
              <w:rPr/>
              <w:t> </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109" w:type="dxa"/>
            <w:tcBorders>
              <w:bottom w:val="single" w:sz="2" w:space="0" w:color="999999"/>
            </w:tcBorders>
            <w:shd w:fill="auto" w:val="clear"/>
            <w:tcMar>
              <w:bottom w:w="60" w:type="dxa"/>
            </w:tcMar>
            <w:vAlign w:val="bottom"/>
          </w:tcPr>
          <w:p>
            <w:pPr>
              <w:pStyle w:val="TableContents"/>
              <w:spacing w:before="0" w:after="283"/>
              <w:rPr/>
            </w:pPr>
            <w:r>
              <w:rPr/>
              <w:t> </w:t>
            </w:r>
          </w:p>
        </w:tc>
        <w:tc>
          <w:tcPr>
            <w:tcW w:w="1390" w:type="dxa"/>
            <w:tcBorders>
              <w:bottom w:val="single" w:sz="2" w:space="0" w:color="999999"/>
            </w:tcBorders>
            <w:shd w:fill="auto" w:val="clear"/>
            <w:tcMar>
              <w:bottom w:w="60" w:type="dxa"/>
            </w:tcMar>
            <w:vAlign w:val="bottom"/>
          </w:tcPr>
          <w:p>
            <w:pPr>
              <w:pStyle w:val="TableContents"/>
              <w:spacing w:before="0" w:after="283"/>
              <w:jc w:val="right"/>
              <w:rPr>
                <w:rFonts w:ascii="ARIAL" w:hAnsi="ARIAL"/>
              </w:rPr>
            </w:pPr>
            <w:r>
              <w:rPr>
                <w:rFonts w:ascii="ARIAL" w:hAnsi="ARIAL"/>
              </w:rPr>
              <w:t>20,156</w:t>
            </w:r>
          </w:p>
        </w:tc>
        <w:tc>
          <w:tcPr>
            <w:tcW w:w="65" w:type="dxa"/>
            <w:tcBorders>
              <w:bottom w:val="single" w:sz="2" w:space="0" w:color="999999"/>
            </w:tcBorders>
            <w:shd w:fill="auto" w:val="clear"/>
            <w:tcMar>
              <w:bottom w:w="60" w:type="dxa"/>
            </w:tcMar>
            <w:vAlign w:val="bottom"/>
          </w:tcPr>
          <w:p>
            <w:pPr>
              <w:pStyle w:val="TableContents"/>
              <w:spacing w:before="0" w:after="283"/>
              <w:rPr/>
            </w:pPr>
            <w:r>
              <w:rPr/>
              <w:t> </w:t>
            </w:r>
          </w:p>
        </w:tc>
        <w:tc>
          <w:tcPr>
            <w:tcW w:w="66" w:type="dxa"/>
            <w:tcBorders>
              <w:bottom w:val="single" w:sz="2" w:space="0" w:color="999999"/>
            </w:tcBorders>
            <w:shd w:fill="auto" w:val="clear"/>
            <w:tcMar>
              <w:bottom w:w="28" w:type="dxa"/>
            </w:tcMar>
            <w:vAlign w:val="bottom"/>
          </w:tcPr>
          <w:p>
            <w:pPr>
              <w:pStyle w:val="TableContents"/>
              <w:spacing w:before="0" w:after="283"/>
              <w:rPr/>
            </w:pPr>
            <w:r>
              <w:rPr/>
              <w:t> </w:t>
            </w:r>
          </w:p>
        </w:tc>
        <w:tc>
          <w:tcPr>
            <w:tcW w:w="78" w:type="dxa"/>
            <w:tcBorders>
              <w:bottom w:val="single" w:sz="2" w:space="0" w:color="999999"/>
            </w:tcBorders>
            <w:shd w:fill="auto" w:val="clear"/>
            <w:tcMar>
              <w:bottom w:w="60" w:type="dxa"/>
            </w:tcMar>
            <w:vAlign w:val="bottom"/>
          </w:tcPr>
          <w:p>
            <w:pPr>
              <w:pStyle w:val="TableContents"/>
              <w:spacing w:before="0" w:after="283"/>
              <w:rPr/>
            </w:pPr>
            <w:r>
              <w:rPr/>
              <w:t> </w:t>
            </w:r>
          </w:p>
        </w:tc>
        <w:tc>
          <w:tcPr>
            <w:tcW w:w="1420" w:type="dxa"/>
            <w:tcBorders>
              <w:bottom w:val="single" w:sz="2" w:space="0" w:color="999999"/>
            </w:tcBorders>
            <w:shd w:fill="auto" w:val="clear"/>
            <w:tcMar>
              <w:bottom w:w="60" w:type="dxa"/>
            </w:tcMar>
            <w:vAlign w:val="bottom"/>
          </w:tcPr>
          <w:p>
            <w:pPr>
              <w:pStyle w:val="TableContents"/>
              <w:spacing w:before="0" w:after="283"/>
              <w:jc w:val="right"/>
              <w:rPr>
                <w:rFonts w:ascii="ARIAL" w:hAnsi="ARIAL"/>
              </w:rPr>
            </w:pPr>
            <w:r>
              <w:rPr>
                <w:rFonts w:ascii="ARIAL" w:hAnsi="ARIAL"/>
              </w:rPr>
              <w:t>1,224,714</w:t>
            </w:r>
          </w:p>
        </w:tc>
        <w:tc>
          <w:tcPr>
            <w:tcW w:w="78" w:type="dxa"/>
            <w:tcBorders>
              <w:bottom w:val="single" w:sz="2" w:space="0" w:color="999999"/>
            </w:tcBorders>
            <w:shd w:fill="auto" w:val="clear"/>
            <w:tcMar>
              <w:bottom w:w="60" w:type="dxa"/>
            </w:tcMar>
            <w:vAlign w:val="bottom"/>
          </w:tcPr>
          <w:p>
            <w:pPr>
              <w:pStyle w:val="TableContents"/>
              <w:spacing w:before="0" w:after="283"/>
              <w:rPr/>
            </w:pPr>
            <w:r>
              <w:rPr/>
              <w:t> </w:t>
            </w:r>
          </w:p>
        </w:tc>
      </w:tr>
      <w:tr>
        <w:trPr/>
        <w:tc>
          <w:tcPr>
            <w:tcW w:w="1340" w:type="dxa"/>
            <w:tcBorders/>
            <w:shd w:fill="auto" w:val="clear"/>
          </w:tcPr>
          <w:p>
            <w:pPr>
              <w:pStyle w:val="TableContents"/>
              <w:spacing w:before="0" w:after="0"/>
              <w:rPr/>
            </w:pPr>
            <w:r>
              <w:rPr/>
              <w:t> </w:t>
            </w:r>
          </w:p>
          <w:p>
            <w:pPr>
              <w:pStyle w:val="TableContents"/>
              <w:spacing w:before="0" w:after="0"/>
              <w:rPr>
                <w:rFonts w:ascii="arial" w:hAnsi="arial"/>
                <w:b/>
                <w:color w:val="00548B"/>
                <w:sz w:val="14"/>
              </w:rPr>
            </w:pPr>
            <w:r>
              <w:rPr>
                <w:rFonts w:ascii="arial" w:hAnsi="arial"/>
                <w:b/>
                <w:color w:val="00548B"/>
                <w:sz w:val="14"/>
              </w:rPr>
              <w:t>Ernest W. Torain, Jr.(3)</w:t>
            </w:r>
          </w:p>
          <w:p>
            <w:pPr>
              <w:pStyle w:val="TableContents"/>
              <w:spacing w:before="0" w:after="0"/>
              <w:rPr>
                <w:rFonts w:ascii="arial" w:hAnsi="arial"/>
                <w:sz w:val="14"/>
              </w:rPr>
            </w:pPr>
            <w:r>
              <w:rPr>
                <w:rFonts w:ascii="arial" w:hAnsi="arial"/>
                <w:sz w:val="14"/>
              </w:rPr>
              <w:t>Executive Vice President,</w:t>
            </w:r>
          </w:p>
          <w:p>
            <w:pPr>
              <w:pStyle w:val="TableContents"/>
              <w:spacing w:before="0" w:after="0"/>
              <w:rPr>
                <w:rFonts w:ascii="arial" w:hAnsi="arial"/>
                <w:sz w:val="14"/>
              </w:rPr>
            </w:pPr>
            <w:r>
              <w:rPr>
                <w:rFonts w:ascii="arial" w:hAnsi="arial"/>
                <w:sz w:val="14"/>
              </w:rPr>
              <w:t>General Counsel and</w:t>
            </w:r>
          </w:p>
          <w:p>
            <w:pPr>
              <w:pStyle w:val="TableContents"/>
              <w:spacing w:before="0" w:after="20"/>
              <w:rPr>
                <w:rFonts w:ascii="arial" w:hAnsi="arial"/>
                <w:sz w:val="14"/>
              </w:rPr>
            </w:pPr>
            <w:r>
              <w:rPr>
                <w:rFonts w:ascii="arial" w:hAnsi="arial"/>
                <w:sz w:val="14"/>
              </w:rPr>
              <w:t>Corporate Secretary</w:t>
            </w:r>
          </w:p>
        </w:tc>
        <w:tc>
          <w:tcPr>
            <w:tcW w:w="66" w:type="dxa"/>
            <w:tcBorders/>
            <w:shd w:fill="auto" w:val="clear"/>
            <w:vAlign w:val="bottom"/>
          </w:tcPr>
          <w:p>
            <w:pPr>
              <w:pStyle w:val="TableContents"/>
              <w:spacing w:before="0" w:after="283"/>
              <w:rPr/>
            </w:pPr>
            <w:r>
              <w:rPr/>
              <w:t> </w:t>
            </w:r>
          </w:p>
        </w:tc>
        <w:tc>
          <w:tcPr>
            <w:tcW w:w="560" w:type="dxa"/>
            <w:tcBorders/>
            <w:shd w:fill="auto" w:val="clear"/>
          </w:tcPr>
          <w:p>
            <w:pPr>
              <w:pStyle w:val="TableContents"/>
              <w:spacing w:before="0" w:after="0"/>
              <w:rPr/>
            </w:pPr>
            <w:r>
              <w:rPr/>
              <w:t> </w:t>
            </w:r>
          </w:p>
          <w:p>
            <w:pPr>
              <w:pStyle w:val="TableContents"/>
              <w:spacing w:before="0" w:after="20"/>
              <w:jc w:val="center"/>
              <w:rPr>
                <w:rFonts w:ascii="ARIAL" w:hAnsi="ARIAL"/>
                <w:sz w:val="14"/>
              </w:rPr>
            </w:pPr>
            <w:r>
              <w:rPr>
                <w:rFonts w:ascii="ARIAL" w:hAnsi="ARIAL"/>
                <w:sz w:val="14"/>
              </w:rPr>
              <w:t>2020</w:t>
            </w:r>
          </w:p>
        </w:tc>
        <w:tc>
          <w:tcPr>
            <w:tcW w:w="66" w:type="dxa"/>
            <w:tcBorders/>
            <w:shd w:fill="auto" w:val="clear"/>
            <w:vAlign w:val="bottom"/>
          </w:tcPr>
          <w:p>
            <w:pPr>
              <w:pStyle w:val="TableContents"/>
              <w:spacing w:before="0" w:after="283"/>
              <w:rPr/>
            </w:pPr>
            <w:r>
              <w:rPr/>
              <w:t> </w:t>
            </w:r>
          </w:p>
        </w:tc>
        <w:tc>
          <w:tcPr>
            <w:tcW w:w="897" w:type="dxa"/>
            <w:tcBorders/>
            <w:shd w:fill="auto" w:val="clear"/>
          </w:tcPr>
          <w:p>
            <w:pPr>
              <w:pStyle w:val="TableContents"/>
              <w:spacing w:before="0" w:after="0"/>
              <w:rPr/>
            </w:pPr>
            <w:r>
              <w:rPr/>
              <w:t> </w:t>
            </w:r>
          </w:p>
          <w:p>
            <w:pPr>
              <w:pStyle w:val="TableContents"/>
              <w:spacing w:before="0" w:after="20"/>
              <w:jc w:val="center"/>
              <w:rPr>
                <w:rFonts w:ascii="ARIAL" w:hAnsi="ARIAL"/>
                <w:sz w:val="14"/>
              </w:rPr>
            </w:pPr>
            <w:r>
              <w:rPr>
                <w:rFonts w:ascii="ARIAL" w:hAnsi="ARIAL"/>
                <w:sz w:val="14"/>
              </w:rPr>
              <w:t>285,000</w:t>
            </w:r>
          </w:p>
        </w:tc>
        <w:tc>
          <w:tcPr>
            <w:tcW w:w="66"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0"/>
              <w:rPr/>
            </w:pPr>
            <w:r>
              <w:rPr/>
              <w:t> </w:t>
            </w:r>
          </w:p>
          <w:p>
            <w:pPr>
              <w:pStyle w:val="TableContents"/>
              <w:spacing w:before="0" w:after="20"/>
              <w:rPr/>
            </w:pPr>
            <w:r>
              <w:rPr/>
              <w:t> </w:t>
            </w:r>
          </w:p>
        </w:tc>
        <w:tc>
          <w:tcPr>
            <w:tcW w:w="897" w:type="dxa"/>
            <w:tcBorders/>
            <w:shd w:fill="auto" w:val="clear"/>
          </w:tcPr>
          <w:p>
            <w:pPr>
              <w:pStyle w:val="TableContents"/>
              <w:spacing w:before="0" w:after="0"/>
              <w:rPr/>
            </w:pPr>
            <w:r>
              <w:rPr/>
              <w:t> </w:t>
            </w:r>
          </w:p>
          <w:p>
            <w:pPr>
              <w:pStyle w:val="TableContents"/>
              <w:spacing w:before="0" w:after="20"/>
              <w:jc w:val="right"/>
              <w:rPr>
                <w:rFonts w:ascii="ARIAL" w:hAnsi="ARIAL"/>
                <w:sz w:val="14"/>
              </w:rPr>
            </w:pPr>
            <w:r>
              <w:rPr>
                <w:rFonts w:ascii="ARIAL" w:hAnsi="ARIAL"/>
                <w:sz w:val="14"/>
              </w:rPr>
              <w:t>53,388</w:t>
            </w:r>
          </w:p>
        </w:tc>
        <w:tc>
          <w:tcPr>
            <w:tcW w:w="66" w:type="dxa"/>
            <w:tcBorders/>
            <w:shd w:fill="auto" w:val="clear"/>
          </w:tcPr>
          <w:p>
            <w:pPr>
              <w:pStyle w:val="TableContents"/>
              <w:spacing w:before="0" w:after="0"/>
              <w:rPr/>
            </w:pPr>
            <w:r>
              <w:rPr/>
              <w:t> </w:t>
            </w:r>
          </w:p>
        </w:tc>
        <w:tc>
          <w:tcPr>
            <w:tcW w:w="66" w:type="dxa"/>
            <w:tcBorders/>
            <w:shd w:fill="auto" w:val="clear"/>
            <w:vAlign w:val="bottom"/>
          </w:tcPr>
          <w:p>
            <w:pPr>
              <w:pStyle w:val="TableContents"/>
              <w:spacing w:before="0" w:after="283"/>
              <w:rPr/>
            </w:pPr>
            <w:r>
              <w:rPr/>
              <w:t> </w:t>
            </w:r>
          </w:p>
        </w:tc>
        <w:tc>
          <w:tcPr>
            <w:tcW w:w="77" w:type="dxa"/>
            <w:tcBorders/>
            <w:shd w:fill="auto" w:val="clear"/>
          </w:tcPr>
          <w:p>
            <w:pPr>
              <w:pStyle w:val="TableContents"/>
              <w:spacing w:before="0" w:after="0"/>
              <w:rPr/>
            </w:pPr>
            <w:r>
              <w:rPr/>
              <w:t> </w:t>
            </w:r>
          </w:p>
          <w:p>
            <w:pPr>
              <w:pStyle w:val="TableContents"/>
              <w:spacing w:before="0" w:after="20"/>
              <w:rPr/>
            </w:pPr>
            <w:r>
              <w:rPr/>
              <w:t> </w:t>
            </w:r>
          </w:p>
        </w:tc>
        <w:tc>
          <w:tcPr>
            <w:tcW w:w="1420" w:type="dxa"/>
            <w:tcBorders/>
            <w:shd w:fill="auto" w:val="clear"/>
          </w:tcPr>
          <w:p>
            <w:pPr>
              <w:pStyle w:val="TableContents"/>
              <w:spacing w:before="0" w:after="0"/>
              <w:rPr/>
            </w:pPr>
            <w:r>
              <w:rPr/>
              <w:t> </w:t>
            </w:r>
          </w:p>
          <w:p>
            <w:pPr>
              <w:pStyle w:val="TableContents"/>
              <w:spacing w:before="0" w:after="20"/>
              <w:jc w:val="right"/>
              <w:rPr>
                <w:rFonts w:ascii="ARIAL" w:hAnsi="ARIAL"/>
                <w:sz w:val="14"/>
              </w:rPr>
            </w:pPr>
            <w:r>
              <w:rPr>
                <w:rFonts w:ascii="ARIAL" w:hAnsi="ARIAL"/>
                <w:sz w:val="14"/>
              </w:rPr>
              <w:t>63,612</w:t>
            </w:r>
          </w:p>
        </w:tc>
        <w:tc>
          <w:tcPr>
            <w:tcW w:w="66" w:type="dxa"/>
            <w:tcBorders/>
            <w:shd w:fill="auto" w:val="clear"/>
          </w:tcPr>
          <w:p>
            <w:pPr>
              <w:pStyle w:val="TableContents"/>
              <w:spacing w:before="0" w:after="0"/>
              <w:rPr/>
            </w:pPr>
            <w:r>
              <w:rPr/>
              <w:t> </w:t>
            </w:r>
          </w:p>
        </w:tc>
        <w:tc>
          <w:tcPr>
            <w:tcW w:w="66" w:type="dxa"/>
            <w:tcBorders/>
            <w:shd w:fill="auto" w:val="clear"/>
            <w:vAlign w:val="bottom"/>
          </w:tcPr>
          <w:p>
            <w:pPr>
              <w:pStyle w:val="TableContents"/>
              <w:spacing w:before="0" w:after="283"/>
              <w:rPr/>
            </w:pPr>
            <w:r>
              <w:rPr/>
              <w:t> </w:t>
            </w:r>
          </w:p>
        </w:tc>
        <w:tc>
          <w:tcPr>
            <w:tcW w:w="60" w:type="dxa"/>
            <w:tcBorders/>
            <w:shd w:fill="auto" w:val="clear"/>
          </w:tcPr>
          <w:p>
            <w:pPr>
              <w:pStyle w:val="TableContents"/>
              <w:spacing w:before="0" w:after="0"/>
              <w:rPr/>
            </w:pPr>
            <w:r>
              <w:rPr/>
              <w:t> </w:t>
            </w:r>
          </w:p>
          <w:p>
            <w:pPr>
              <w:pStyle w:val="TableContents"/>
              <w:spacing w:before="0" w:after="20"/>
              <w:rPr/>
            </w:pPr>
            <w:r>
              <w:rPr/>
              <w:t> </w:t>
            </w:r>
          </w:p>
        </w:tc>
        <w:tc>
          <w:tcPr>
            <w:tcW w:w="1094" w:type="dxa"/>
            <w:tcBorders/>
            <w:shd w:fill="auto" w:val="clear"/>
          </w:tcPr>
          <w:p>
            <w:pPr>
              <w:pStyle w:val="TableContents"/>
              <w:spacing w:before="0" w:after="0"/>
              <w:rPr/>
            </w:pPr>
            <w:r>
              <w:rPr/>
              <w:t> </w:t>
            </w:r>
          </w:p>
          <w:p>
            <w:pPr>
              <w:pStyle w:val="TableContents"/>
              <w:spacing w:before="0" w:after="20"/>
              <w:jc w:val="right"/>
              <w:rPr>
                <w:rFonts w:ascii="ARIAL" w:hAnsi="ARIAL"/>
                <w:sz w:val="14"/>
              </w:rPr>
            </w:pPr>
            <w:r>
              <w:rPr>
                <w:rFonts w:ascii="ARIAL" w:hAnsi="ARIAL"/>
                <w:sz w:val="14"/>
              </w:rPr>
              <w:t>423,985</w:t>
            </w:r>
          </w:p>
        </w:tc>
        <w:tc>
          <w:tcPr>
            <w:tcW w:w="66" w:type="dxa"/>
            <w:tcBorders/>
            <w:shd w:fill="auto" w:val="clear"/>
          </w:tcPr>
          <w:p>
            <w:pPr>
              <w:pStyle w:val="TableContents"/>
              <w:spacing w:before="0" w:after="0"/>
              <w:rPr/>
            </w:pPr>
            <w:r>
              <w:rPr/>
              <w:t> </w:t>
            </w:r>
          </w:p>
          <w:p>
            <w:pPr>
              <w:pStyle w:val="TableContents"/>
              <w:spacing w:before="0" w:after="20"/>
              <w:rPr/>
            </w:pPr>
            <w:r>
              <w:rPr/>
              <w:t> </w:t>
            </w:r>
          </w:p>
        </w:tc>
        <w:tc>
          <w:tcPr>
            <w:tcW w:w="66" w:type="dxa"/>
            <w:tcBorders/>
            <w:shd w:fill="auto" w:val="clear"/>
            <w:vAlign w:val="bottom"/>
          </w:tcPr>
          <w:p>
            <w:pPr>
              <w:pStyle w:val="TableContents"/>
              <w:spacing w:before="0" w:after="283"/>
              <w:rPr/>
            </w:pPr>
            <w:r>
              <w:rPr/>
              <w:t> </w:t>
            </w:r>
          </w:p>
        </w:tc>
        <w:tc>
          <w:tcPr>
            <w:tcW w:w="109" w:type="dxa"/>
            <w:tcBorders/>
            <w:shd w:fill="auto" w:val="clear"/>
          </w:tcPr>
          <w:p>
            <w:pPr>
              <w:pStyle w:val="TableContents"/>
              <w:spacing w:before="0" w:after="0"/>
              <w:rPr/>
            </w:pPr>
            <w:r>
              <w:rPr/>
              <w:t> </w:t>
            </w:r>
          </w:p>
          <w:p>
            <w:pPr>
              <w:pStyle w:val="TableContents"/>
              <w:spacing w:before="0" w:after="20"/>
              <w:rPr/>
            </w:pPr>
            <w:r>
              <w:rPr/>
              <w:t> </w:t>
            </w:r>
          </w:p>
        </w:tc>
        <w:tc>
          <w:tcPr>
            <w:tcW w:w="1390" w:type="dxa"/>
            <w:tcBorders/>
            <w:shd w:fill="auto" w:val="clear"/>
          </w:tcPr>
          <w:p>
            <w:pPr>
              <w:pStyle w:val="TableContents"/>
              <w:spacing w:before="0" w:after="0"/>
              <w:rPr/>
            </w:pPr>
            <w:r>
              <w:rPr/>
              <w:t> </w:t>
            </w:r>
          </w:p>
          <w:p>
            <w:pPr>
              <w:pStyle w:val="TableContents"/>
              <w:spacing w:before="0" w:after="20"/>
              <w:jc w:val="right"/>
              <w:rPr>
                <w:rFonts w:ascii="ARIAL" w:hAnsi="ARIAL"/>
                <w:sz w:val="14"/>
              </w:rPr>
            </w:pPr>
            <w:r>
              <w:rPr>
                <w:rFonts w:ascii="ARIAL" w:hAnsi="ARIAL"/>
                <w:sz w:val="14"/>
              </w:rPr>
              <w:t>25,537</w:t>
            </w:r>
          </w:p>
        </w:tc>
        <w:tc>
          <w:tcPr>
            <w:tcW w:w="65" w:type="dxa"/>
            <w:tcBorders/>
            <w:shd w:fill="auto" w:val="clear"/>
          </w:tcPr>
          <w:p>
            <w:pPr>
              <w:pStyle w:val="TableContents"/>
              <w:spacing w:before="0" w:after="0"/>
              <w:rPr/>
            </w:pPr>
            <w:r>
              <w:rPr/>
              <w:t> </w:t>
            </w:r>
          </w:p>
          <w:p>
            <w:pPr>
              <w:pStyle w:val="TableContents"/>
              <w:spacing w:before="0" w:after="20"/>
              <w:rPr/>
            </w:pPr>
            <w:r>
              <w:rPr/>
              <w:t> </w:t>
            </w:r>
          </w:p>
        </w:tc>
        <w:tc>
          <w:tcPr>
            <w:tcW w:w="66" w:type="dxa"/>
            <w:tcBorders/>
            <w:shd w:fill="auto" w:val="clear"/>
            <w:vAlign w:val="bottom"/>
          </w:tcPr>
          <w:p>
            <w:pPr>
              <w:pStyle w:val="TableContents"/>
              <w:spacing w:before="0" w:after="283"/>
              <w:rPr/>
            </w:pPr>
            <w:r>
              <w:rPr/>
              <w:t> </w:t>
            </w:r>
          </w:p>
        </w:tc>
        <w:tc>
          <w:tcPr>
            <w:tcW w:w="78" w:type="dxa"/>
            <w:tcBorders/>
            <w:shd w:fill="auto" w:val="clear"/>
          </w:tcPr>
          <w:p>
            <w:pPr>
              <w:pStyle w:val="TableContents"/>
              <w:spacing w:before="0" w:after="0"/>
              <w:rPr/>
            </w:pPr>
            <w:r>
              <w:rPr/>
              <w:t> </w:t>
            </w:r>
          </w:p>
          <w:p>
            <w:pPr>
              <w:pStyle w:val="TableContents"/>
              <w:spacing w:before="0" w:after="20"/>
              <w:rPr/>
            </w:pPr>
            <w:r>
              <w:rPr/>
              <w:t> </w:t>
            </w:r>
          </w:p>
        </w:tc>
        <w:tc>
          <w:tcPr>
            <w:tcW w:w="1420" w:type="dxa"/>
            <w:tcBorders/>
            <w:shd w:fill="auto" w:val="clear"/>
          </w:tcPr>
          <w:p>
            <w:pPr>
              <w:pStyle w:val="TableContents"/>
              <w:spacing w:before="0" w:after="0"/>
              <w:rPr/>
            </w:pPr>
            <w:r>
              <w:rPr/>
              <w:t> </w:t>
            </w:r>
          </w:p>
          <w:p>
            <w:pPr>
              <w:pStyle w:val="TableContents"/>
              <w:spacing w:before="0" w:after="20"/>
              <w:jc w:val="right"/>
              <w:rPr>
                <w:rFonts w:ascii="ARIAL" w:hAnsi="ARIAL"/>
                <w:sz w:val="14"/>
              </w:rPr>
            </w:pPr>
            <w:r>
              <w:rPr>
                <w:rFonts w:ascii="ARIAL" w:hAnsi="ARIAL"/>
                <w:sz w:val="14"/>
              </w:rPr>
              <w:t>851,522</w:t>
            </w:r>
          </w:p>
        </w:tc>
        <w:tc>
          <w:tcPr>
            <w:tcW w:w="78" w:type="dxa"/>
            <w:tcBorders/>
            <w:shd w:fill="auto" w:val="clear"/>
          </w:tcPr>
          <w:p>
            <w:pPr>
              <w:pStyle w:val="TableContents"/>
              <w:spacing w:before="0" w:after="0"/>
              <w:rPr/>
            </w:pPr>
            <w:r>
              <w:rPr/>
              <w:t> </w:t>
            </w:r>
          </w:p>
          <w:p>
            <w:pPr>
              <w:pStyle w:val="TableContents"/>
              <w:spacing w:before="0" w:after="20"/>
              <w:rPr/>
            </w:pPr>
            <w:r>
              <w:rPr/>
              <w:t> </w:t>
            </w:r>
          </w:p>
        </w:tc>
      </w:tr>
      <w:tr>
        <w:trPr/>
        <w:tc>
          <w:tcPr>
            <w:tcW w:w="1340" w:type="dxa"/>
            <w:tcBorders>
              <w:top w:val="single" w:sz="2" w:space="0" w:color="999999"/>
            </w:tcBorders>
            <w:shd w:fill="auto" w:val="clear"/>
            <w:tcMar>
              <w:top w:w="28" w:type="dxa"/>
            </w:tcMar>
          </w:tcPr>
          <w:p>
            <w:pPr>
              <w:pStyle w:val="TableContents"/>
              <w:spacing w:before="0" w:after="0"/>
              <w:rPr/>
            </w:pPr>
            <w:r>
              <w:rPr/>
              <w:t> </w:t>
            </w:r>
          </w:p>
          <w:p>
            <w:pPr>
              <w:pStyle w:val="TableContents"/>
              <w:spacing w:before="0" w:after="20"/>
              <w:rPr>
                <w:rFonts w:ascii="arial" w:hAnsi="arial"/>
                <w:b/>
                <w:color w:val="00548B"/>
                <w:sz w:val="14"/>
              </w:rPr>
            </w:pPr>
            <w:r>
              <w:rPr>
                <w:rFonts w:ascii="arial" w:hAnsi="arial"/>
                <w:b/>
                <w:color w:val="00548B"/>
                <w:sz w:val="14"/>
              </w:rPr>
              <w:t>Diane E. Ratekin(4)</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560"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2020</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897"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400,000</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897" w:type="dxa"/>
            <w:tcBorders>
              <w:top w:val="single" w:sz="2" w:space="0" w:color="999999"/>
            </w:tcBorders>
            <w:shd w:fill="auto" w:val="clear"/>
            <w:tcMar>
              <w:top w:w="28" w:type="dxa"/>
            </w:tcMar>
            <w:vAlign w:val="bottom"/>
          </w:tcPr>
          <w:p>
            <w:pPr>
              <w:pStyle w:val="TableContents"/>
              <w:spacing w:before="0" w:after="283"/>
              <w:rPr/>
            </w:pPr>
            <w:r>
              <w:rPr/>
              <w:t> </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77" w:type="dxa"/>
            <w:tcBorders>
              <w:top w:val="single" w:sz="2" w:space="0" w:color="999999"/>
            </w:tcBorders>
            <w:shd w:fill="auto" w:val="clear"/>
            <w:tcMar>
              <w:top w:w="28" w:type="dxa"/>
            </w:tcMar>
            <w:vAlign w:val="bottom"/>
          </w:tcPr>
          <w:p>
            <w:pPr>
              <w:pStyle w:val="TableContents"/>
              <w:spacing w:before="0" w:after="283"/>
              <w:rPr/>
            </w:pPr>
            <w:r>
              <w:rPr/>
              <w:t> </w:t>
            </w:r>
          </w:p>
        </w:tc>
        <w:tc>
          <w:tcPr>
            <w:tcW w:w="142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200,000</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94"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138,025</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109" w:type="dxa"/>
            <w:tcBorders>
              <w:top w:val="single" w:sz="2" w:space="0" w:color="999999"/>
            </w:tcBorders>
            <w:shd w:fill="auto" w:val="clear"/>
            <w:tcMar>
              <w:top w:w="28" w:type="dxa"/>
            </w:tcMar>
            <w:vAlign w:val="bottom"/>
          </w:tcPr>
          <w:p>
            <w:pPr>
              <w:pStyle w:val="TableContents"/>
              <w:spacing w:before="0" w:after="283"/>
              <w:rPr/>
            </w:pPr>
            <w:r>
              <w:rPr/>
              <w:t> </w:t>
            </w:r>
          </w:p>
        </w:tc>
        <w:tc>
          <w:tcPr>
            <w:tcW w:w="139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33,016</w:t>
            </w:r>
          </w:p>
        </w:tc>
        <w:tc>
          <w:tcPr>
            <w:tcW w:w="65" w:type="dxa"/>
            <w:tcBorders>
              <w:top w:val="single" w:sz="2" w:space="0" w:color="999999"/>
            </w:tcBorders>
            <w:shd w:fill="auto" w:val="clear"/>
            <w:tcMar>
              <w:top w:w="28" w:type="dxa"/>
            </w:tcMar>
            <w:vAlign w:val="bottom"/>
          </w:tcPr>
          <w:p>
            <w:pPr>
              <w:pStyle w:val="TableContents"/>
              <w:spacing w:before="0" w:after="283"/>
              <w:rPr/>
            </w:pPr>
            <w:r>
              <w:rPr/>
              <w:t> </w:t>
            </w:r>
          </w:p>
        </w:tc>
        <w:tc>
          <w:tcPr>
            <w:tcW w:w="66" w:type="dxa"/>
            <w:tcBorders>
              <w:top w:val="single" w:sz="2" w:space="0" w:color="999999"/>
            </w:tcBorders>
            <w:shd w:fill="auto" w:val="clear"/>
            <w:tcMar>
              <w:top w:w="28" w:type="dxa"/>
            </w:tcMar>
            <w:vAlign w:val="bottom"/>
          </w:tcPr>
          <w:p>
            <w:pPr>
              <w:pStyle w:val="TableContents"/>
              <w:spacing w:before="0" w:after="283"/>
              <w:rPr/>
            </w:pPr>
            <w:r>
              <w:rPr/>
              <w:t> </w:t>
            </w:r>
          </w:p>
        </w:tc>
        <w:tc>
          <w:tcPr>
            <w:tcW w:w="78" w:type="dxa"/>
            <w:tcBorders>
              <w:top w:val="single" w:sz="2" w:space="0" w:color="999999"/>
            </w:tcBorders>
            <w:shd w:fill="auto" w:val="clear"/>
            <w:tcMar>
              <w:top w:w="28" w:type="dxa"/>
            </w:tcMar>
            <w:vAlign w:val="bottom"/>
          </w:tcPr>
          <w:p>
            <w:pPr>
              <w:pStyle w:val="TableContents"/>
              <w:spacing w:before="0" w:after="283"/>
              <w:rPr/>
            </w:pPr>
            <w:r>
              <w:rPr/>
              <w:t> </w:t>
            </w:r>
          </w:p>
        </w:tc>
        <w:tc>
          <w:tcPr>
            <w:tcW w:w="142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771,041</w:t>
            </w:r>
          </w:p>
        </w:tc>
        <w:tc>
          <w:tcPr>
            <w:tcW w:w="78" w:type="dxa"/>
            <w:tcBorders>
              <w:top w:val="single" w:sz="2" w:space="0" w:color="999999"/>
            </w:tcBorders>
            <w:shd w:fill="auto" w:val="clear"/>
            <w:tcMar>
              <w:top w:w="28" w:type="dxa"/>
            </w:tcM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arial" w:hAnsi="arial"/>
                <w:sz w:val="14"/>
              </w:rPr>
            </w:pPr>
            <w:r>
              <w:rPr>
                <w:rFonts w:ascii="arial" w:hAnsi="arial"/>
                <w:sz w:val="14"/>
              </w:rPr>
              <w:t>Former Executive Vice President,</w:t>
            </w:r>
          </w:p>
        </w:tc>
        <w:tc>
          <w:tcPr>
            <w:tcW w:w="6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center"/>
              <w:rPr>
                <w:rFonts w:ascii="ARIAL" w:hAnsi="ARIAL"/>
              </w:rPr>
            </w:pPr>
            <w:r>
              <w:rPr>
                <w:rFonts w:ascii="ARIAL" w:hAnsi="ARIAL"/>
              </w:rPr>
              <w:t>2019</w:t>
            </w:r>
          </w:p>
        </w:tc>
        <w:tc>
          <w:tcPr>
            <w:tcW w:w="66"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center"/>
              <w:rPr>
                <w:rFonts w:ascii="ARIAL" w:hAnsi="ARIAL"/>
              </w:rPr>
            </w:pPr>
            <w:r>
              <w:rPr>
                <w:rFonts w:ascii="ARIAL" w:hAnsi="ARIAL"/>
              </w:rPr>
              <w:t>400,000</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7"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259,720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rFonts w:ascii="ARIAL" w:hAnsi="ARIAL"/>
              </w:rPr>
            </w:pPr>
            <w:r>
              <w:rPr>
                <w:rFonts w:ascii="ARIAL" w:hAnsi="ARIAL"/>
              </w:rPr>
              <w:t>459,984</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ARIAL" w:hAnsi="ARIAL"/>
              </w:rPr>
            </w:pPr>
            <w:r>
              <w:rPr>
                <w:rFonts w:ascii="ARIAL" w:hAnsi="ARIAL"/>
              </w:rPr>
              <w:t>57,519</w:t>
            </w:r>
          </w:p>
        </w:tc>
        <w:tc>
          <w:tcPr>
            <w:tcW w:w="6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1,177,223</w:t>
            </w:r>
          </w:p>
        </w:tc>
        <w:tc>
          <w:tcPr>
            <w:tcW w:w="78" w:type="dxa"/>
            <w:tcBorders/>
            <w:shd w:fill="auto" w:val="clear"/>
            <w:vAlign w:val="bottom"/>
          </w:tcPr>
          <w:p>
            <w:pPr>
              <w:pStyle w:val="TableContents"/>
              <w:spacing w:before="0" w:after="283"/>
              <w:rPr/>
            </w:pPr>
            <w:r>
              <w:rPr/>
              <w:t> </w:t>
            </w:r>
          </w:p>
        </w:tc>
      </w:tr>
      <w:tr>
        <w:trPr/>
        <w:tc>
          <w:tcPr>
            <w:tcW w:w="1340" w:type="dxa"/>
            <w:tcBorders/>
            <w:shd w:fill="auto" w:val="clear"/>
          </w:tcPr>
          <w:p>
            <w:pPr>
              <w:pStyle w:val="TableContents"/>
              <w:spacing w:before="0" w:after="0"/>
              <w:rPr>
                <w:rFonts w:ascii="arial" w:hAnsi="arial"/>
                <w:sz w:val="14"/>
              </w:rPr>
            </w:pPr>
            <w:r>
              <w:rPr>
                <w:rFonts w:ascii="arial" w:hAnsi="arial"/>
                <w:sz w:val="14"/>
              </w:rPr>
              <w:t>General Counsel and</w:t>
            </w:r>
          </w:p>
        </w:tc>
        <w:tc>
          <w:tcPr>
            <w:tcW w:w="66"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center"/>
              <w:rPr>
                <w:rFonts w:ascii="ARIAL" w:hAnsi="ARIAL"/>
              </w:rPr>
            </w:pPr>
            <w:r>
              <w:rPr>
                <w:rFonts w:ascii="ARIAL" w:hAnsi="ARIAL"/>
              </w:rPr>
              <w:t>2018</w:t>
            </w:r>
          </w:p>
        </w:tc>
        <w:tc>
          <w:tcPr>
            <w:tcW w:w="66" w:type="dxa"/>
            <w:tcBorders/>
            <w:shd w:fill="auto" w:val="clear"/>
            <w:vAlign w:val="bottom"/>
          </w:tcPr>
          <w:p>
            <w:pPr>
              <w:pStyle w:val="TableContents"/>
              <w:spacing w:before="0" w:after="283"/>
              <w:rPr/>
            </w:pPr>
            <w:r>
              <w:rPr/>
              <w:t> </w:t>
            </w:r>
          </w:p>
        </w:tc>
        <w:tc>
          <w:tcPr>
            <w:tcW w:w="897" w:type="dxa"/>
            <w:tcBorders/>
            <w:shd w:fill="auto" w:val="clear"/>
            <w:vAlign w:val="bottom"/>
          </w:tcPr>
          <w:p>
            <w:pPr>
              <w:pStyle w:val="TableContents"/>
              <w:spacing w:before="0" w:after="283"/>
              <w:jc w:val="center"/>
              <w:rPr>
                <w:rFonts w:ascii="ARIAL" w:hAnsi="ARIAL"/>
              </w:rPr>
            </w:pPr>
            <w:r>
              <w:rPr>
                <w:rFonts w:ascii="ARIAL" w:hAnsi="ARIAL"/>
              </w:rPr>
              <w:t>400,000</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97"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sz w:val="4"/>
                <w:szCs w:val="4"/>
              </w:rPr>
            </w:pPr>
            <w:r>
              <w:rPr>
                <w:sz w:val="4"/>
                <w:szCs w:val="4"/>
              </w:rPr>
            </w:r>
          </w:p>
        </w:tc>
        <w:tc>
          <w:tcPr>
            <w:tcW w:w="66" w:type="dxa"/>
            <w:tcBorders/>
            <w:shd w:fill="auto" w:val="clear"/>
            <w:vAlign w:val="bottom"/>
          </w:tcPr>
          <w:p>
            <w:pPr>
              <w:pStyle w:val="TableContents"/>
              <w:spacing w:before="0" w:after="283"/>
              <w:rPr/>
            </w:pPr>
            <w:r>
              <w:rPr/>
              <w:t> </w:t>
            </w:r>
          </w:p>
        </w:tc>
        <w:tc>
          <w:tcPr>
            <w:tcW w:w="77"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234,060</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94" w:type="dxa"/>
            <w:tcBorders/>
            <w:shd w:fill="auto" w:val="clear"/>
            <w:vAlign w:val="bottom"/>
          </w:tcPr>
          <w:p>
            <w:pPr>
              <w:pStyle w:val="TableContents"/>
              <w:spacing w:before="0" w:after="283"/>
              <w:jc w:val="right"/>
              <w:rPr>
                <w:rFonts w:ascii="ARIAL" w:hAnsi="ARIAL"/>
              </w:rPr>
            </w:pPr>
            <w:r>
              <w:rPr>
                <w:rFonts w:ascii="ARIAL" w:hAnsi="ARIAL"/>
              </w:rPr>
              <w:t>460,013</w:t>
            </w:r>
          </w:p>
        </w:tc>
        <w:tc>
          <w:tcPr>
            <w:tcW w:w="66"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109" w:type="dxa"/>
            <w:tcBorders/>
            <w:shd w:fill="auto" w:val="clear"/>
            <w:vAlign w:val="bottom"/>
          </w:tcPr>
          <w:p>
            <w:pPr>
              <w:pStyle w:val="TableContents"/>
              <w:spacing w:before="0" w:after="283"/>
              <w:rPr/>
            </w:pPr>
            <w:r>
              <w:rPr/>
              <w:t> </w:t>
            </w:r>
          </w:p>
        </w:tc>
        <w:tc>
          <w:tcPr>
            <w:tcW w:w="1390" w:type="dxa"/>
            <w:tcBorders/>
            <w:shd w:fill="auto" w:val="clear"/>
            <w:vAlign w:val="bottom"/>
          </w:tcPr>
          <w:p>
            <w:pPr>
              <w:pStyle w:val="TableContents"/>
              <w:spacing w:before="0" w:after="283"/>
              <w:jc w:val="right"/>
              <w:rPr>
                <w:rFonts w:ascii="ARIAL" w:hAnsi="ARIAL"/>
              </w:rPr>
            </w:pPr>
            <w:r>
              <w:rPr>
                <w:rFonts w:ascii="ARIAL" w:hAnsi="ARIAL"/>
              </w:rPr>
              <w:t>35,395</w:t>
            </w:r>
          </w:p>
        </w:tc>
        <w:tc>
          <w:tcPr>
            <w:tcW w:w="65" w:type="dxa"/>
            <w:tcBorders/>
            <w:shd w:fill="auto" w:val="clear"/>
            <w:vAlign w:val="bottom"/>
          </w:tcPr>
          <w:p>
            <w:pPr>
              <w:pStyle w:val="TableContents"/>
              <w:spacing w:before="0" w:after="283"/>
              <w:rPr/>
            </w:pPr>
            <w:r>
              <w:rPr/>
              <w:t> </w:t>
            </w:r>
          </w:p>
        </w:tc>
        <w:tc>
          <w:tcPr>
            <w:tcW w:w="66" w:type="dxa"/>
            <w:tcBorders/>
            <w:shd w:fill="auto" w:val="clear"/>
            <w:vAlign w:val="bottom"/>
          </w:tcPr>
          <w:p>
            <w:pPr>
              <w:pStyle w:val="TableContents"/>
              <w:spacing w:before="0" w:after="283"/>
              <w:rPr/>
            </w:pPr>
            <w:r>
              <w:rPr/>
              <w:t> </w:t>
            </w:r>
          </w:p>
        </w:tc>
        <w:tc>
          <w:tcPr>
            <w:tcW w:w="78" w:type="dxa"/>
            <w:tcBorders/>
            <w:shd w:fill="auto" w:val="clear"/>
            <w:vAlign w:val="bottom"/>
          </w:tcPr>
          <w:p>
            <w:pPr>
              <w:pStyle w:val="TableContents"/>
              <w:spacing w:before="0" w:after="283"/>
              <w:rPr/>
            </w:pPr>
            <w:r>
              <w:rPr/>
              <w:t> </w:t>
            </w:r>
          </w:p>
        </w:tc>
        <w:tc>
          <w:tcPr>
            <w:tcW w:w="1420" w:type="dxa"/>
            <w:tcBorders/>
            <w:shd w:fill="auto" w:val="clear"/>
            <w:vAlign w:val="bottom"/>
          </w:tcPr>
          <w:p>
            <w:pPr>
              <w:pStyle w:val="TableContents"/>
              <w:spacing w:before="0" w:after="283"/>
              <w:jc w:val="right"/>
              <w:rPr>
                <w:rFonts w:ascii="ARIAL" w:hAnsi="ARIAL"/>
              </w:rPr>
            </w:pPr>
            <w:r>
              <w:rPr>
                <w:rFonts w:ascii="ARIAL" w:hAnsi="ARIAL"/>
              </w:rPr>
              <w:t>1,129,468</w:t>
            </w:r>
          </w:p>
        </w:tc>
        <w:tc>
          <w:tcPr>
            <w:tcW w:w="78" w:type="dxa"/>
            <w:tcBorders/>
            <w:shd w:fill="auto" w:val="clear"/>
            <w:vAlign w:val="bottom"/>
          </w:tcPr>
          <w:p>
            <w:pPr>
              <w:pStyle w:val="TableContents"/>
              <w:spacing w:before="0" w:after="283"/>
              <w:rPr/>
            </w:pPr>
            <w:r>
              <w:rPr/>
              <w:t> </w:t>
            </w:r>
          </w:p>
        </w:tc>
      </w:tr>
      <w:tr>
        <w:trPr/>
        <w:tc>
          <w:tcPr>
            <w:tcW w:w="1340" w:type="dxa"/>
            <w:tcBorders>
              <w:bottom w:val="single" w:sz="2" w:space="0" w:color="00548B"/>
            </w:tcBorders>
            <w:shd w:fill="auto" w:val="clear"/>
            <w:tcMar>
              <w:bottom w:w="28" w:type="dxa"/>
            </w:tcMar>
          </w:tcPr>
          <w:p>
            <w:pPr>
              <w:pStyle w:val="TableContents"/>
              <w:spacing w:before="0" w:after="0"/>
              <w:rPr>
                <w:rFonts w:ascii="arial" w:hAnsi="arial"/>
                <w:sz w:val="14"/>
              </w:rPr>
            </w:pPr>
            <w:r>
              <w:rPr>
                <w:rFonts w:ascii="arial" w:hAnsi="arial"/>
                <w:sz w:val="14"/>
              </w:rPr>
              <w:t>Corporate Secretary</w:t>
            </w:r>
          </w:p>
        </w:tc>
        <w:tc>
          <w:tcPr>
            <w:tcW w:w="66" w:type="dxa"/>
            <w:tcBorders>
              <w:bottom w:val="single" w:sz="2" w:space="0" w:color="00548B"/>
            </w:tcBorders>
            <w:shd w:fill="auto" w:val="clear"/>
            <w:tcMar>
              <w:bottom w:w="28" w:type="dxa"/>
            </w:tcMar>
            <w:vAlign w:val="bottom"/>
          </w:tcPr>
          <w:p>
            <w:pPr>
              <w:pStyle w:val="TableContents"/>
              <w:spacing w:before="0" w:after="283"/>
              <w:rPr/>
            </w:pPr>
            <w:r>
              <w:rPr/>
              <w:t> </w:t>
            </w:r>
          </w:p>
        </w:tc>
        <w:tc>
          <w:tcPr>
            <w:tcW w:w="560" w:type="dxa"/>
            <w:tcBorders>
              <w:bottom w:val="single" w:sz="2" w:space="0" w:color="00548B"/>
            </w:tcBorders>
            <w:shd w:fill="auto" w:val="clear"/>
            <w:tcMar>
              <w:bottom w:w="28" w:type="dxa"/>
            </w:tcMar>
            <w:vAlign w:val="bottom"/>
          </w:tcPr>
          <w:p>
            <w:pPr>
              <w:pStyle w:val="TableContents"/>
              <w:spacing w:before="0" w:after="283"/>
              <w:rPr/>
            </w:pPr>
            <w:r>
              <w:rPr/>
              <w:t> </w:t>
            </w:r>
          </w:p>
        </w:tc>
        <w:tc>
          <w:tcPr>
            <w:tcW w:w="66" w:type="dxa"/>
            <w:tcBorders>
              <w:bottom w:val="single" w:sz="2" w:space="0" w:color="00548B"/>
            </w:tcBorders>
            <w:shd w:fill="auto" w:val="clear"/>
            <w:tcMar>
              <w:bottom w:w="28" w:type="dxa"/>
            </w:tcMar>
            <w:vAlign w:val="bottom"/>
          </w:tcPr>
          <w:p>
            <w:pPr>
              <w:pStyle w:val="TableContents"/>
              <w:spacing w:before="0" w:after="283"/>
              <w:rPr/>
            </w:pPr>
            <w:r>
              <w:rPr/>
              <w:t> </w:t>
            </w:r>
          </w:p>
        </w:tc>
        <w:tc>
          <w:tcPr>
            <w:tcW w:w="897" w:type="dxa"/>
            <w:tcBorders>
              <w:bottom w:val="single" w:sz="2" w:space="0" w:color="00548B"/>
            </w:tcBorders>
            <w:shd w:fill="auto" w:val="clear"/>
            <w:tcMar>
              <w:bottom w:w="28" w:type="dxa"/>
            </w:tcMar>
            <w:vAlign w:val="bottom"/>
          </w:tcPr>
          <w:p>
            <w:pPr>
              <w:pStyle w:val="TableContents"/>
              <w:spacing w:before="0" w:after="283"/>
              <w:rPr/>
            </w:pPr>
            <w:r>
              <w:rPr/>
              <w:t> </w:t>
            </w:r>
          </w:p>
        </w:tc>
        <w:tc>
          <w:tcPr>
            <w:tcW w:w="6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897" w:type="dxa"/>
            <w:tcBorders>
              <w:bottom w:val="single" w:sz="2" w:space="0" w:color="00548B"/>
            </w:tcBorders>
            <w:shd w:fill="auto" w:val="clear"/>
            <w:tcMar>
              <w:bottom w:w="28" w:type="dxa"/>
            </w:tcMar>
            <w:vAlign w:val="bottom"/>
          </w:tcPr>
          <w:p>
            <w:pPr>
              <w:pStyle w:val="TableContents"/>
              <w:spacing w:before="0" w:after="283"/>
              <w:rPr/>
            </w:pPr>
            <w:r>
              <w:rPr/>
              <w:t> </w:t>
            </w:r>
          </w:p>
        </w:tc>
        <w:tc>
          <w:tcPr>
            <w:tcW w:w="66" w:type="dxa"/>
            <w:tcBorders>
              <w:bottom w:val="single" w:sz="2" w:space="0" w:color="00548B"/>
            </w:tcBorders>
            <w:shd w:fill="auto" w:val="clear"/>
            <w:tcMar>
              <w:bottom w:w="28" w:type="dxa"/>
            </w:tcMar>
            <w:vAlign w:val="bottom"/>
          </w:tcPr>
          <w:p>
            <w:pPr>
              <w:pStyle w:val="TableContents"/>
              <w:spacing w:before="0" w:after="283"/>
              <w:rPr/>
            </w:pPr>
            <w:r>
              <w:rPr/>
              <w:t> </w:t>
            </w:r>
          </w:p>
        </w:tc>
        <w:tc>
          <w:tcPr>
            <w:tcW w:w="66" w:type="dxa"/>
            <w:tcBorders>
              <w:bottom w:val="single" w:sz="2" w:space="0" w:color="00548B"/>
            </w:tcBorders>
            <w:shd w:fill="auto" w:val="clear"/>
            <w:tcMar>
              <w:bottom w:w="28" w:type="dxa"/>
            </w:tcMar>
            <w:vAlign w:val="bottom"/>
          </w:tcPr>
          <w:p>
            <w:pPr>
              <w:pStyle w:val="TableContents"/>
              <w:spacing w:before="0" w:after="283"/>
              <w:rPr/>
            </w:pPr>
            <w:r>
              <w:rPr/>
              <w:t> </w:t>
            </w:r>
          </w:p>
        </w:tc>
        <w:tc>
          <w:tcPr>
            <w:tcW w:w="77" w:type="dxa"/>
            <w:tcBorders>
              <w:bottom w:val="single" w:sz="2" w:space="0" w:color="00548B"/>
            </w:tcBorders>
            <w:shd w:fill="auto" w:val="clear"/>
            <w:tcMar>
              <w:bottom w:w="28" w:type="dxa"/>
            </w:tcMar>
            <w:vAlign w:val="bottom"/>
          </w:tcPr>
          <w:p>
            <w:pPr>
              <w:pStyle w:val="TableContents"/>
              <w:spacing w:before="0" w:after="283"/>
              <w:rPr/>
            </w:pPr>
            <w:r>
              <w:rPr/>
              <w:t> </w:t>
            </w:r>
          </w:p>
        </w:tc>
        <w:tc>
          <w:tcPr>
            <w:tcW w:w="1420" w:type="dxa"/>
            <w:tcBorders>
              <w:bottom w:val="single" w:sz="2" w:space="0" w:color="00548B"/>
            </w:tcBorders>
            <w:shd w:fill="auto" w:val="clear"/>
            <w:tcMar>
              <w:bottom w:w="28" w:type="dxa"/>
            </w:tcMar>
            <w:vAlign w:val="bottom"/>
          </w:tcPr>
          <w:p>
            <w:pPr>
              <w:pStyle w:val="TableContents"/>
              <w:spacing w:before="0" w:after="283"/>
              <w:rPr/>
            </w:pPr>
            <w:r>
              <w:rPr/>
              <w:t> </w:t>
            </w:r>
          </w:p>
        </w:tc>
        <w:tc>
          <w:tcPr>
            <w:tcW w:w="66" w:type="dxa"/>
            <w:tcBorders>
              <w:bottom w:val="single" w:sz="2" w:space="0" w:color="00548B"/>
            </w:tcBorders>
            <w:shd w:fill="auto" w:val="clear"/>
            <w:tcMar>
              <w:bottom w:w="28" w:type="dxa"/>
            </w:tcMar>
            <w:vAlign w:val="bottom"/>
          </w:tcPr>
          <w:p>
            <w:pPr>
              <w:pStyle w:val="TableContents"/>
              <w:spacing w:before="0" w:after="283"/>
              <w:rPr/>
            </w:pPr>
            <w:r>
              <w:rPr/>
              <w:t> </w:t>
            </w:r>
          </w:p>
        </w:tc>
        <w:tc>
          <w:tcPr>
            <w:tcW w:w="66"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1094" w:type="dxa"/>
            <w:tcBorders>
              <w:bottom w:val="single" w:sz="2" w:space="0" w:color="00548B"/>
            </w:tcBorders>
            <w:shd w:fill="auto" w:val="clear"/>
            <w:tcMar>
              <w:bottom w:w="28" w:type="dxa"/>
            </w:tcMar>
            <w:vAlign w:val="bottom"/>
          </w:tcPr>
          <w:p>
            <w:pPr>
              <w:pStyle w:val="TableContents"/>
              <w:spacing w:before="0" w:after="283"/>
              <w:rPr/>
            </w:pPr>
            <w:r>
              <w:rPr/>
              <w:t> </w:t>
            </w:r>
          </w:p>
        </w:tc>
        <w:tc>
          <w:tcPr>
            <w:tcW w:w="66" w:type="dxa"/>
            <w:tcBorders>
              <w:bottom w:val="single" w:sz="2" w:space="0" w:color="00548B"/>
            </w:tcBorders>
            <w:shd w:fill="auto" w:val="clear"/>
            <w:tcMar>
              <w:bottom w:w="28" w:type="dxa"/>
            </w:tcMar>
            <w:vAlign w:val="bottom"/>
          </w:tcPr>
          <w:p>
            <w:pPr>
              <w:pStyle w:val="TableContents"/>
              <w:spacing w:before="0" w:after="283"/>
              <w:rPr/>
            </w:pPr>
            <w:r>
              <w:rPr/>
              <w:t> </w:t>
            </w:r>
          </w:p>
        </w:tc>
        <w:tc>
          <w:tcPr>
            <w:tcW w:w="66" w:type="dxa"/>
            <w:tcBorders>
              <w:bottom w:val="single" w:sz="2" w:space="0" w:color="00548B"/>
            </w:tcBorders>
            <w:shd w:fill="auto" w:val="clear"/>
            <w:tcMar>
              <w:bottom w:w="28" w:type="dxa"/>
            </w:tcMar>
            <w:vAlign w:val="bottom"/>
          </w:tcPr>
          <w:p>
            <w:pPr>
              <w:pStyle w:val="TableContents"/>
              <w:spacing w:before="0" w:after="283"/>
              <w:rPr/>
            </w:pPr>
            <w:r>
              <w:rPr/>
              <w:t> </w:t>
            </w:r>
          </w:p>
        </w:tc>
        <w:tc>
          <w:tcPr>
            <w:tcW w:w="109" w:type="dxa"/>
            <w:tcBorders>
              <w:bottom w:val="single" w:sz="2" w:space="0" w:color="00548B"/>
            </w:tcBorders>
            <w:shd w:fill="auto" w:val="clear"/>
            <w:tcMar>
              <w:bottom w:w="28" w:type="dxa"/>
            </w:tcMar>
            <w:vAlign w:val="bottom"/>
          </w:tcPr>
          <w:p>
            <w:pPr>
              <w:pStyle w:val="TableContents"/>
              <w:spacing w:before="0" w:after="283"/>
              <w:rPr/>
            </w:pPr>
            <w:r>
              <w:rPr/>
              <w:t> </w:t>
            </w:r>
          </w:p>
        </w:tc>
        <w:tc>
          <w:tcPr>
            <w:tcW w:w="1390" w:type="dxa"/>
            <w:tcBorders>
              <w:bottom w:val="single" w:sz="2" w:space="0" w:color="00548B"/>
            </w:tcBorders>
            <w:shd w:fill="auto" w:val="clear"/>
            <w:tcMar>
              <w:bottom w:w="28" w:type="dxa"/>
            </w:tcMar>
            <w:vAlign w:val="bottom"/>
          </w:tcPr>
          <w:p>
            <w:pPr>
              <w:pStyle w:val="TableContents"/>
              <w:spacing w:before="0" w:after="283"/>
              <w:rPr/>
            </w:pPr>
            <w:r>
              <w:rPr/>
              <w:t> </w:t>
            </w:r>
          </w:p>
        </w:tc>
        <w:tc>
          <w:tcPr>
            <w:tcW w:w="65" w:type="dxa"/>
            <w:tcBorders>
              <w:bottom w:val="single" w:sz="2" w:space="0" w:color="00548B"/>
            </w:tcBorders>
            <w:shd w:fill="auto" w:val="clear"/>
            <w:tcMar>
              <w:bottom w:w="28" w:type="dxa"/>
            </w:tcMar>
            <w:vAlign w:val="bottom"/>
          </w:tcPr>
          <w:p>
            <w:pPr>
              <w:pStyle w:val="TableContents"/>
              <w:spacing w:before="0" w:after="283"/>
              <w:rPr/>
            </w:pPr>
            <w:r>
              <w:rPr/>
              <w:t> </w:t>
            </w:r>
          </w:p>
        </w:tc>
        <w:tc>
          <w:tcPr>
            <w:tcW w:w="66" w:type="dxa"/>
            <w:tcBorders>
              <w:bottom w:val="single" w:sz="2" w:space="0" w:color="00548B"/>
            </w:tcBorders>
            <w:shd w:fill="auto" w:val="clear"/>
            <w:tcMar>
              <w:bottom w:w="28" w:type="dxa"/>
            </w:tcMar>
            <w:vAlign w:val="bottom"/>
          </w:tcPr>
          <w:p>
            <w:pPr>
              <w:pStyle w:val="TableContents"/>
              <w:spacing w:before="0" w:after="283"/>
              <w:rPr/>
            </w:pPr>
            <w:r>
              <w:rPr/>
              <w:t> </w:t>
            </w:r>
          </w:p>
        </w:tc>
        <w:tc>
          <w:tcPr>
            <w:tcW w:w="78" w:type="dxa"/>
            <w:tcBorders>
              <w:bottom w:val="single" w:sz="2" w:space="0" w:color="00548B"/>
            </w:tcBorders>
            <w:shd w:fill="auto" w:val="clear"/>
            <w:tcMar>
              <w:bottom w:w="28" w:type="dxa"/>
            </w:tcMar>
            <w:vAlign w:val="bottom"/>
          </w:tcPr>
          <w:p>
            <w:pPr>
              <w:pStyle w:val="TableContents"/>
              <w:spacing w:before="0" w:after="283"/>
              <w:rPr/>
            </w:pPr>
            <w:r>
              <w:rPr/>
              <w:t> </w:t>
            </w:r>
          </w:p>
        </w:tc>
        <w:tc>
          <w:tcPr>
            <w:tcW w:w="1420" w:type="dxa"/>
            <w:tcBorders>
              <w:bottom w:val="single" w:sz="2" w:space="0" w:color="00548B"/>
            </w:tcBorders>
            <w:shd w:fill="auto" w:val="clear"/>
            <w:tcMar>
              <w:bottom w:w="28" w:type="dxa"/>
            </w:tcMar>
            <w:vAlign w:val="bottom"/>
          </w:tcPr>
          <w:p>
            <w:pPr>
              <w:pStyle w:val="TableContents"/>
              <w:spacing w:before="0" w:after="283"/>
              <w:rPr/>
            </w:pPr>
            <w:r>
              <w:rPr/>
              <w:t> </w:t>
            </w:r>
          </w:p>
        </w:tc>
        <w:tc>
          <w:tcPr>
            <w:tcW w:w="78"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This column represents the aggregate grant date fair value of restricted stock and/or performance share unit awards. The value of the performance share units in the table is consistent with the estimate of aggregate compensation cost to be recognized over the service period determined as of the grant date under FASB ASC Topic 718.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Includes a special time-vested award for Mr. Kelly and a special time-vested new hire award for Mr. Torain. See 2020 Grants Plan-Based Awards table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(3)</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Mr. Torain has served as Executive Vice President, General Counsel, and Secretary since March 1, 2020.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Ms. Ratekin served as Executive Vice President, General Counsel, and Secretary. As part of her retirement agreement with the Company, Ms. Ratekins Non-Equity Incentive Plan Award for 2020 will be paid at target. On September 12, 2019, Ms. Ratekin entered into a Transitional Retirement Agreement in connection with her intention to retire as Executive Vice President, General Counsel and Corporate Secretary of the Company. To facilitate a smooth transition, Ms. Ratekin agreed to continue to serve as Executive Vice President, General Counsel and Corporate Secretary until her successor was appointed. In 2020, Ms. Ratekin received a base salary of $400,000 and an annual bonus fixed at $200,000 paid in cash and $138,000 in restricted stock, along with other welfare benefits and executive perquisites. Mr. Torain was appointed as Ms. Ratekins successor effective March 1, 2020 and she serves as an advisor to the board of directors of the Company and Mr. Torain until April 1, 2021.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(5)</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All Other Compensation for 2020 is detailed in the table below.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The amounts in this Bonus column for 2020 represent discretionary awards determined by the Committee. For additional detail related to the determination of these awards, please refer to the 2020 Annual Incentive Award section of the Compensation Discussion and Analysis.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i/>
          <w:color w:val="00548B"/>
          <w:sz w:val="18"/>
        </w:rPr>
      </w:pPr>
      <w:r>
        <w:rPr>
          <w:rFonts w:ascii="arial" w:hAnsi="arial"/>
          <w:b/>
          <w:i/>
          <w:color w:val="00548B"/>
          <w:sz w:val="18"/>
        </w:rPr>
        <w:t xml:space="preserve">2020 All Other Compensation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06"/>
        <w:gridCol w:w="190"/>
        <w:gridCol w:w="110"/>
        <w:gridCol w:w="1145"/>
        <w:gridCol w:w="190"/>
        <w:gridCol w:w="190"/>
        <w:gridCol w:w="112"/>
        <w:gridCol w:w="1171"/>
        <w:gridCol w:w="190"/>
        <w:gridCol w:w="190"/>
        <w:gridCol w:w="113"/>
        <w:gridCol w:w="1435"/>
        <w:gridCol w:w="190"/>
        <w:gridCol w:w="190"/>
        <w:gridCol w:w="109"/>
        <w:gridCol w:w="1397"/>
        <w:gridCol w:w="190"/>
        <w:gridCol w:w="190"/>
        <w:gridCol w:w="100"/>
        <w:gridCol w:w="1293"/>
        <w:gridCol w:w="204"/>
      </w:tblGrid>
      <w:tr>
        <w:trPr/>
        <w:tc>
          <w:tcPr>
            <w:tcW w:w="1306"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10" w:type="dxa"/>
            <w:tcBorders/>
            <w:shd w:fill="auto" w:val="clear"/>
            <w:vAlign w:val="center"/>
          </w:tcPr>
          <w:p>
            <w:pPr>
              <w:pStyle w:val="TableContents"/>
              <w:spacing w:before="0" w:after="283"/>
              <w:rPr>
                <w:sz w:val="4"/>
                <w:szCs w:val="4"/>
              </w:rPr>
            </w:pPr>
            <w:r>
              <w:rPr>
                <w:sz w:val="4"/>
                <w:szCs w:val="4"/>
              </w:rPr>
            </w:r>
          </w:p>
        </w:tc>
        <w:tc>
          <w:tcPr>
            <w:tcW w:w="114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12" w:type="dxa"/>
            <w:tcBorders/>
            <w:shd w:fill="auto" w:val="clear"/>
            <w:vAlign w:val="center"/>
          </w:tcPr>
          <w:p>
            <w:pPr>
              <w:pStyle w:val="TableContents"/>
              <w:spacing w:before="0" w:after="283"/>
              <w:rPr>
                <w:sz w:val="4"/>
                <w:szCs w:val="4"/>
              </w:rPr>
            </w:pPr>
            <w:r>
              <w:rPr>
                <w:sz w:val="4"/>
                <w:szCs w:val="4"/>
              </w:rPr>
            </w:r>
          </w:p>
        </w:tc>
        <w:tc>
          <w:tcPr>
            <w:tcW w:w="1171"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13" w:type="dxa"/>
            <w:tcBorders/>
            <w:shd w:fill="auto" w:val="clear"/>
            <w:vAlign w:val="center"/>
          </w:tcPr>
          <w:p>
            <w:pPr>
              <w:pStyle w:val="TableContents"/>
              <w:spacing w:before="0" w:after="283"/>
              <w:rPr>
                <w:sz w:val="4"/>
                <w:szCs w:val="4"/>
              </w:rPr>
            </w:pPr>
            <w:r>
              <w:rPr>
                <w:sz w:val="4"/>
                <w:szCs w:val="4"/>
              </w:rPr>
            </w:r>
          </w:p>
        </w:tc>
        <w:tc>
          <w:tcPr>
            <w:tcW w:w="1435"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09" w:type="dxa"/>
            <w:tcBorders/>
            <w:shd w:fill="auto" w:val="clear"/>
            <w:vAlign w:val="center"/>
          </w:tcPr>
          <w:p>
            <w:pPr>
              <w:pStyle w:val="TableContents"/>
              <w:spacing w:before="0" w:after="283"/>
              <w:rPr>
                <w:sz w:val="4"/>
                <w:szCs w:val="4"/>
              </w:rPr>
            </w:pPr>
            <w:r>
              <w:rPr>
                <w:sz w:val="4"/>
                <w:szCs w:val="4"/>
              </w:rPr>
            </w:r>
          </w:p>
        </w:tc>
        <w:tc>
          <w:tcPr>
            <w:tcW w:w="1397" w:type="dxa"/>
            <w:tcBorders/>
            <w:shd w:fill="auto" w:val="clear"/>
            <w:vAlign w:val="center"/>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bottom"/>
          </w:tcPr>
          <w:p>
            <w:pPr>
              <w:pStyle w:val="TableContents"/>
              <w:spacing w:before="0" w:after="283"/>
              <w:rPr>
                <w:sz w:val="4"/>
                <w:szCs w:val="4"/>
              </w:rPr>
            </w:pPr>
            <w:r>
              <w:rPr>
                <w:sz w:val="4"/>
                <w:szCs w:val="4"/>
              </w:rPr>
            </w:r>
          </w:p>
        </w:tc>
        <w:tc>
          <w:tcPr>
            <w:tcW w:w="100" w:type="dxa"/>
            <w:tcBorders/>
            <w:shd w:fill="auto" w:val="clear"/>
            <w:vAlign w:val="center"/>
          </w:tcPr>
          <w:p>
            <w:pPr>
              <w:pStyle w:val="TableContents"/>
              <w:spacing w:before="0" w:after="283"/>
              <w:rPr>
                <w:sz w:val="4"/>
                <w:szCs w:val="4"/>
              </w:rPr>
            </w:pPr>
            <w:r>
              <w:rPr>
                <w:sz w:val="4"/>
                <w:szCs w:val="4"/>
              </w:rPr>
            </w:r>
          </w:p>
        </w:tc>
        <w:tc>
          <w:tcPr>
            <w:tcW w:w="1293" w:type="dxa"/>
            <w:tcBorders/>
            <w:shd w:fill="auto" w:val="clear"/>
            <w:vAlign w:val="center"/>
          </w:tcPr>
          <w:p>
            <w:pPr>
              <w:pStyle w:val="TableContents"/>
              <w:spacing w:before="0" w:after="283"/>
              <w:rPr>
                <w:sz w:val="4"/>
                <w:szCs w:val="4"/>
              </w:rPr>
            </w:pPr>
            <w:r>
              <w:rPr>
                <w:sz w:val="4"/>
                <w:szCs w:val="4"/>
              </w:rPr>
            </w:r>
          </w:p>
        </w:tc>
        <w:tc>
          <w:tcPr>
            <w:tcW w:w="204" w:type="dxa"/>
            <w:tcBorders/>
            <w:shd w:fill="auto" w:val="clear"/>
            <w:vAlign w:val="bottom"/>
          </w:tcPr>
          <w:p>
            <w:pPr>
              <w:pStyle w:val="TableContents"/>
              <w:spacing w:before="0" w:after="283"/>
              <w:rPr>
                <w:sz w:val="4"/>
                <w:szCs w:val="4"/>
              </w:rPr>
            </w:pPr>
            <w:r>
              <w:rPr>
                <w:sz w:val="4"/>
                <w:szCs w:val="4"/>
              </w:rPr>
            </w:r>
          </w:p>
        </w:tc>
      </w:tr>
      <w:tr>
        <w:trPr/>
        <w:tc>
          <w:tcPr>
            <w:tcW w:w="1306" w:type="dxa"/>
            <w:tcBorders/>
            <w:shd w:fill="00548B" w:val="clear"/>
            <w:vAlign w:val="bottom"/>
          </w:tcPr>
          <w:p>
            <w:pPr>
              <w:pStyle w:val="TableContents"/>
              <w:spacing w:before="0" w:after="283"/>
              <w:rPr>
                <w:b/>
                <w:color w:val="D8D8D8"/>
              </w:rPr>
            </w:pPr>
            <w:r>
              <w:rPr>
                <w:b/>
                <w:color w:val="D8D8D8"/>
              </w:rPr>
              <w:t>Name</w:t>
            </w:r>
          </w:p>
        </w:tc>
        <w:tc>
          <w:tcPr>
            <w:tcW w:w="190" w:type="dxa"/>
            <w:tcBorders/>
            <w:shd w:fill="00548B" w:val="clear"/>
            <w:vAlign w:val="bottom"/>
          </w:tcPr>
          <w:p>
            <w:pPr>
              <w:pStyle w:val="TableContents"/>
              <w:spacing w:before="0" w:after="283"/>
              <w:rPr/>
            </w:pPr>
            <w:r>
              <w:rPr/>
              <w:t> </w:t>
            </w:r>
          </w:p>
        </w:tc>
        <w:tc>
          <w:tcPr>
            <w:tcW w:w="1255" w:type="dxa"/>
            <w:gridSpan w:val="2"/>
            <w:tcBorders/>
            <w:shd w:fill="00548B" w:val="clear"/>
            <w:vAlign w:val="bottom"/>
          </w:tcPr>
          <w:p>
            <w:pPr>
              <w:pStyle w:val="TableContents"/>
              <w:spacing w:before="0" w:after="0"/>
              <w:jc w:val="center"/>
              <w:rPr>
                <w:rFonts w:ascii="arial" w:hAnsi="arial"/>
                <w:b/>
                <w:color w:val="D8D8D8"/>
                <w:sz w:val="16"/>
              </w:rPr>
            </w:pPr>
            <w:r>
              <w:rPr>
                <w:rFonts w:ascii="arial" w:hAnsi="arial"/>
                <w:b/>
                <w:color w:val="D8D8D8"/>
                <w:sz w:val="16"/>
              </w:rPr>
              <w:t>Executive Long-</w:t>
            </w:r>
          </w:p>
          <w:p>
            <w:pPr>
              <w:pStyle w:val="TableContents"/>
              <w:spacing w:before="0" w:after="0"/>
              <w:jc w:val="center"/>
              <w:rPr>
                <w:rFonts w:ascii="arial" w:hAnsi="arial"/>
                <w:b/>
                <w:color w:val="D8D8D8"/>
                <w:sz w:val="16"/>
              </w:rPr>
            </w:pPr>
            <w:r>
              <w:rPr>
                <w:rFonts w:ascii="arial" w:hAnsi="arial"/>
                <w:b/>
                <w:color w:val="D8D8D8"/>
                <w:sz w:val="16"/>
              </w:rPr>
              <w:t>Term Disability</w:t>
            </w:r>
          </w:p>
          <w:p>
            <w:pPr>
              <w:pStyle w:val="TableContents"/>
              <w:spacing w:before="0" w:after="20"/>
              <w:jc w:val="center"/>
              <w:rPr>
                <w:color w:val="D8D8D8"/>
              </w:rPr>
            </w:pPr>
            <w:r>
              <w:rPr>
                <w:color w:val="D8D8D8"/>
              </w:rPr>
              <w:t>        </w:t>
            </w:r>
            <w:r>
              <w:rPr>
                <w:rFonts w:ascii="arial" w:hAnsi="arial"/>
                <w:b/>
                <w:color w:val="D8D8D8"/>
                <w:sz w:val="16"/>
              </w:rPr>
              <w:t>($)(1)        </w:t>
            </w:r>
          </w:p>
        </w:tc>
        <w:tc>
          <w:tcPr>
            <w:tcW w:w="190" w:type="dxa"/>
            <w:tcBorders/>
            <w:shd w:fill="00548B" w:val="clear"/>
            <w:vAlign w:val="bottom"/>
          </w:tcPr>
          <w:p>
            <w:pPr>
              <w:pStyle w:val="TableContents"/>
              <w:spacing w:before="0" w:after="283"/>
              <w:rPr/>
            </w:pPr>
            <w:r>
              <w:rPr/>
              <w:t> </w:t>
            </w:r>
          </w:p>
        </w:tc>
        <w:tc>
          <w:tcPr>
            <w:tcW w:w="190" w:type="dxa"/>
            <w:tcBorders/>
            <w:shd w:fill="00548B" w:val="clear"/>
            <w:vAlign w:val="bottom"/>
          </w:tcPr>
          <w:p>
            <w:pPr>
              <w:pStyle w:val="TableContents"/>
              <w:spacing w:before="0" w:after="283"/>
              <w:rPr/>
            </w:pPr>
            <w:r>
              <w:rPr/>
              <w:t> </w:t>
            </w:r>
          </w:p>
        </w:tc>
        <w:tc>
          <w:tcPr>
            <w:tcW w:w="1283" w:type="dxa"/>
            <w:gridSpan w:val="2"/>
            <w:tcBorders/>
            <w:shd w:fill="00548B" w:val="clear"/>
            <w:vAlign w:val="bottom"/>
          </w:tcPr>
          <w:p>
            <w:pPr>
              <w:pStyle w:val="TableContents"/>
              <w:spacing w:before="0" w:after="0"/>
              <w:jc w:val="center"/>
              <w:rPr>
                <w:rFonts w:ascii="arial" w:hAnsi="arial"/>
                <w:b/>
                <w:color w:val="D8D8D8"/>
                <w:sz w:val="16"/>
              </w:rPr>
            </w:pPr>
            <w:r>
              <w:rPr>
                <w:rFonts w:ascii="arial" w:hAnsi="arial"/>
                <w:b/>
                <w:color w:val="D8D8D8"/>
                <w:sz w:val="16"/>
              </w:rPr>
              <w:t>Executive $1MM</w:t>
            </w:r>
          </w:p>
          <w:p>
            <w:pPr>
              <w:pStyle w:val="TableContents"/>
              <w:spacing w:before="0" w:after="0"/>
              <w:jc w:val="center"/>
              <w:rPr>
                <w:rFonts w:ascii="arial" w:hAnsi="arial"/>
                <w:b/>
                <w:color w:val="D8D8D8"/>
                <w:sz w:val="16"/>
              </w:rPr>
            </w:pPr>
            <w:r>
              <w:rPr>
                <w:rFonts w:ascii="arial" w:hAnsi="arial"/>
                <w:b/>
                <w:color w:val="D8D8D8"/>
                <w:sz w:val="16"/>
              </w:rPr>
              <w:t>Term Life</w:t>
              <w:br/>
              <w:t>Insurance</w:t>
            </w:r>
          </w:p>
          <w:p>
            <w:pPr>
              <w:pStyle w:val="TableContents"/>
              <w:spacing w:before="0" w:after="20"/>
              <w:jc w:val="center"/>
              <w:rPr>
                <w:rFonts w:ascii="arial" w:hAnsi="arial"/>
                <w:b/>
                <w:color w:val="D8D8D8"/>
                <w:sz w:val="16"/>
              </w:rPr>
            </w:pPr>
            <w:r>
              <w:rPr>
                <w:rFonts w:ascii="arial" w:hAnsi="arial"/>
                <w:b/>
                <w:color w:val="D8D8D8"/>
                <w:sz w:val="16"/>
              </w:rPr>
              <w:t>($)(2)</w:t>
            </w:r>
          </w:p>
        </w:tc>
        <w:tc>
          <w:tcPr>
            <w:tcW w:w="190" w:type="dxa"/>
            <w:tcBorders/>
            <w:shd w:fill="00548B" w:val="clear"/>
            <w:vAlign w:val="bottom"/>
          </w:tcPr>
          <w:p>
            <w:pPr>
              <w:pStyle w:val="TableContents"/>
              <w:spacing w:before="0" w:after="283"/>
              <w:rPr/>
            </w:pPr>
            <w:r>
              <w:rPr/>
              <w:t> </w:t>
            </w:r>
          </w:p>
        </w:tc>
        <w:tc>
          <w:tcPr>
            <w:tcW w:w="190" w:type="dxa"/>
            <w:tcBorders/>
            <w:shd w:fill="00548B" w:val="clear"/>
            <w:vAlign w:val="bottom"/>
          </w:tcPr>
          <w:p>
            <w:pPr>
              <w:pStyle w:val="TableContents"/>
              <w:spacing w:before="0" w:after="283"/>
              <w:rPr/>
            </w:pPr>
            <w:r>
              <w:rPr/>
              <w:t> </w:t>
            </w:r>
          </w:p>
        </w:tc>
        <w:tc>
          <w:tcPr>
            <w:tcW w:w="1548" w:type="dxa"/>
            <w:gridSpan w:val="2"/>
            <w:tcBorders/>
            <w:shd w:fill="00548B" w:val="clear"/>
            <w:vAlign w:val="bottom"/>
          </w:tcPr>
          <w:p>
            <w:pPr>
              <w:pStyle w:val="TableContents"/>
              <w:spacing w:before="0" w:after="0"/>
              <w:jc w:val="center"/>
              <w:rPr>
                <w:rFonts w:ascii="arial" w:hAnsi="arial"/>
                <w:b/>
                <w:color w:val="D8D8D8"/>
                <w:sz w:val="16"/>
              </w:rPr>
            </w:pPr>
            <w:r>
              <w:rPr>
                <w:rFonts w:ascii="arial" w:hAnsi="arial"/>
                <w:b/>
                <w:color w:val="D8D8D8"/>
                <w:sz w:val="16"/>
              </w:rPr>
              <w:t>Company Provided</w:t>
              <w:br/>
              <w:t>401(k) Match</w:t>
            </w:r>
          </w:p>
          <w:p>
            <w:pPr>
              <w:pStyle w:val="TableContents"/>
              <w:spacing w:before="0" w:after="20"/>
              <w:jc w:val="center"/>
              <w:rPr>
                <w:rFonts w:ascii="arial" w:hAnsi="arial"/>
                <w:b/>
                <w:color w:val="D8D8D8"/>
                <w:sz w:val="16"/>
              </w:rPr>
            </w:pPr>
            <w:r>
              <w:rPr>
                <w:rFonts w:ascii="arial" w:hAnsi="arial"/>
                <w:b/>
                <w:color w:val="D8D8D8"/>
                <w:sz w:val="16"/>
              </w:rPr>
              <w:t>($)(3)</w:t>
            </w:r>
          </w:p>
        </w:tc>
        <w:tc>
          <w:tcPr>
            <w:tcW w:w="190" w:type="dxa"/>
            <w:tcBorders/>
            <w:shd w:fill="00548B" w:val="clear"/>
            <w:vAlign w:val="bottom"/>
          </w:tcPr>
          <w:p>
            <w:pPr>
              <w:pStyle w:val="TableContents"/>
              <w:spacing w:before="0" w:after="283"/>
              <w:rPr/>
            </w:pPr>
            <w:r>
              <w:rPr/>
              <w:t> </w:t>
            </w:r>
          </w:p>
        </w:tc>
        <w:tc>
          <w:tcPr>
            <w:tcW w:w="190" w:type="dxa"/>
            <w:tcBorders/>
            <w:shd w:fill="00548B" w:val="clear"/>
            <w:vAlign w:val="bottom"/>
          </w:tcPr>
          <w:p>
            <w:pPr>
              <w:pStyle w:val="TableContents"/>
              <w:spacing w:before="0" w:after="283"/>
              <w:rPr/>
            </w:pPr>
            <w:r>
              <w:rPr/>
              <w:t> </w:t>
            </w:r>
          </w:p>
        </w:tc>
        <w:tc>
          <w:tcPr>
            <w:tcW w:w="1506" w:type="dxa"/>
            <w:gridSpan w:val="2"/>
            <w:tcBorders/>
            <w:shd w:fill="00548B" w:val="clear"/>
            <w:vAlign w:val="bottom"/>
          </w:tcPr>
          <w:p>
            <w:pPr>
              <w:pStyle w:val="TableContents"/>
              <w:spacing w:before="0" w:after="283"/>
              <w:jc w:val="center"/>
              <w:rPr>
                <w:b/>
                <w:color w:val="D8D8D8"/>
              </w:rPr>
            </w:pPr>
            <w:r>
              <w:rPr>
                <w:b/>
                <w:color w:val="D8D8D8"/>
              </w:rPr>
              <w:t>Other Benefits</w:t>
              <w:br/>
              <w:t>and</w:t>
              <w:br/>
              <w:t>Perquisites</w:t>
              <w:br/>
              <w:t>$(4)</w:t>
            </w:r>
          </w:p>
        </w:tc>
        <w:tc>
          <w:tcPr>
            <w:tcW w:w="190" w:type="dxa"/>
            <w:tcBorders/>
            <w:shd w:fill="00548B" w:val="clear"/>
            <w:vAlign w:val="bottom"/>
          </w:tcPr>
          <w:p>
            <w:pPr>
              <w:pStyle w:val="TableContents"/>
              <w:spacing w:before="0" w:after="283"/>
              <w:rPr/>
            </w:pPr>
            <w:r>
              <w:rPr/>
              <w:t> </w:t>
            </w:r>
          </w:p>
        </w:tc>
        <w:tc>
          <w:tcPr>
            <w:tcW w:w="190" w:type="dxa"/>
            <w:tcBorders/>
            <w:shd w:fill="00548B" w:val="clear"/>
            <w:vAlign w:val="bottom"/>
          </w:tcPr>
          <w:p>
            <w:pPr>
              <w:pStyle w:val="TableContents"/>
              <w:spacing w:before="0" w:after="283"/>
              <w:rPr/>
            </w:pPr>
            <w:r>
              <w:rPr/>
              <w:t> </w:t>
            </w:r>
          </w:p>
        </w:tc>
        <w:tc>
          <w:tcPr>
            <w:tcW w:w="1393" w:type="dxa"/>
            <w:gridSpan w:val="2"/>
            <w:tcBorders/>
            <w:shd w:fill="00548B" w:val="clear"/>
            <w:vAlign w:val="bottom"/>
          </w:tcPr>
          <w:p>
            <w:pPr>
              <w:pStyle w:val="TableContents"/>
              <w:spacing w:before="0" w:after="0"/>
              <w:jc w:val="center"/>
              <w:rPr>
                <w:rFonts w:ascii="arial" w:hAnsi="arial"/>
                <w:b/>
                <w:color w:val="D8D8D8"/>
                <w:sz w:val="16"/>
              </w:rPr>
            </w:pPr>
            <w:r>
              <w:rPr>
                <w:rFonts w:ascii="arial" w:hAnsi="arial"/>
                <w:b/>
                <w:color w:val="D8D8D8"/>
                <w:sz w:val="16"/>
              </w:rPr>
              <w:t>Total All</w:t>
            </w:r>
          </w:p>
          <w:p>
            <w:pPr>
              <w:pStyle w:val="TableContents"/>
              <w:spacing w:before="0" w:after="0"/>
              <w:jc w:val="center"/>
              <w:rPr>
                <w:rFonts w:ascii="arial" w:hAnsi="arial"/>
                <w:b/>
                <w:color w:val="D8D8D8"/>
                <w:sz w:val="16"/>
              </w:rPr>
            </w:pPr>
            <w:r>
              <w:rPr>
                <w:rFonts w:ascii="arial" w:hAnsi="arial"/>
                <w:b/>
                <w:color w:val="D8D8D8"/>
                <w:sz w:val="16"/>
              </w:rPr>
              <w:t>Other</w:t>
              <w:br/>
              <w:t>  Compensation  </w:t>
            </w:r>
          </w:p>
          <w:p>
            <w:pPr>
              <w:pStyle w:val="TableContents"/>
              <w:spacing w:before="0" w:after="20"/>
              <w:jc w:val="center"/>
              <w:rPr>
                <w:rFonts w:ascii="arial" w:hAnsi="arial"/>
                <w:b/>
                <w:color w:val="D8D8D8"/>
                <w:sz w:val="16"/>
              </w:rPr>
            </w:pPr>
            <w:r>
              <w:rPr>
                <w:rFonts w:ascii="arial" w:hAnsi="arial"/>
                <w:b/>
                <w:color w:val="D8D8D8"/>
                <w:sz w:val="16"/>
              </w:rPr>
              <w:t>($)</w:t>
            </w:r>
          </w:p>
        </w:tc>
        <w:tc>
          <w:tcPr>
            <w:tcW w:w="204" w:type="dxa"/>
            <w:tcBorders/>
            <w:shd w:fill="00548B" w:val="clear"/>
            <w:vAlign w:val="bottom"/>
          </w:tcPr>
          <w:p>
            <w:pPr>
              <w:pStyle w:val="TableContents"/>
              <w:spacing w:before="0" w:after="283"/>
              <w:rPr/>
            </w:pPr>
            <w:r>
              <w:rPr/>
              <w:t> </w:t>
            </w:r>
          </w:p>
        </w:tc>
      </w:tr>
      <w:tr>
        <w:trPr/>
        <w:tc>
          <w:tcPr>
            <w:tcW w:w="1306" w:type="dxa"/>
            <w:tcBorders>
              <w:bottom w:val="single" w:sz="2" w:space="0" w:color="999999"/>
            </w:tcBorders>
            <w:shd w:fill="auto" w:val="clear"/>
            <w:tcMar>
              <w:bottom w:w="28" w:type="dxa"/>
            </w:tcMar>
          </w:tcPr>
          <w:p>
            <w:pPr>
              <w:pStyle w:val="TableContents"/>
              <w:spacing w:before="0" w:after="0"/>
              <w:rPr>
                <w:rFonts w:ascii="arial" w:hAnsi="arial"/>
                <w:sz w:val="16"/>
              </w:rPr>
            </w:pPr>
            <w:r>
              <w:rPr>
                <w:rFonts w:ascii="arial" w:hAnsi="arial"/>
                <w:sz w:val="16"/>
              </w:rPr>
              <w:t>James H. Roth</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0" w:type="dxa"/>
            <w:tcBorders>
              <w:bottom w:val="single" w:sz="2" w:space="0" w:color="999999"/>
            </w:tcBorders>
            <w:shd w:fill="auto" w:val="clear"/>
            <w:tcMar>
              <w:bottom w:w="28" w:type="dxa"/>
            </w:tcMar>
            <w:vAlign w:val="bottom"/>
          </w:tcPr>
          <w:p>
            <w:pPr>
              <w:pStyle w:val="TableContents"/>
              <w:spacing w:before="0" w:after="283"/>
              <w:rPr/>
            </w:pPr>
            <w:r>
              <w:rPr/>
              <w:t> </w:t>
            </w:r>
          </w:p>
        </w:tc>
        <w:tc>
          <w:tcPr>
            <w:tcW w:w="114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6,777</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2" w:type="dxa"/>
            <w:tcBorders>
              <w:bottom w:val="single" w:sz="2" w:space="0" w:color="999999"/>
            </w:tcBorders>
            <w:shd w:fill="auto" w:val="clear"/>
            <w:tcMar>
              <w:bottom w:w="28" w:type="dxa"/>
            </w:tcMar>
            <w:vAlign w:val="bottom"/>
          </w:tcPr>
          <w:p>
            <w:pPr>
              <w:pStyle w:val="TableContents"/>
              <w:spacing w:before="0" w:after="283"/>
              <w:rPr/>
            </w:pPr>
            <w:r>
              <w:rPr/>
              <w:t> </w:t>
            </w:r>
          </w:p>
        </w:tc>
        <w:tc>
          <w:tcPr>
            <w:tcW w:w="1171"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4,433</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3" w:type="dxa"/>
            <w:tcBorders>
              <w:bottom w:val="single" w:sz="2" w:space="0" w:color="999999"/>
            </w:tcBorders>
            <w:shd w:fill="auto" w:val="clear"/>
            <w:tcMar>
              <w:bottom w:w="28" w:type="dxa"/>
            </w:tcMar>
            <w:vAlign w:val="bottom"/>
          </w:tcPr>
          <w:p>
            <w:pPr>
              <w:pStyle w:val="TableContents"/>
              <w:spacing w:before="0" w:after="283"/>
              <w:rPr/>
            </w:pPr>
            <w:r>
              <w:rPr/>
              <w:t> </w:t>
            </w:r>
          </w:p>
        </w:tc>
        <w:tc>
          <w:tcPr>
            <w:tcW w:w="143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17,100</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139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13,233</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129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41,543</w:t>
            </w:r>
          </w:p>
        </w:tc>
        <w:tc>
          <w:tcPr>
            <w:tcW w:w="204"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306" w:type="dxa"/>
            <w:tcBorders>
              <w:bottom w:val="single" w:sz="2" w:space="0" w:color="999999"/>
            </w:tcBorders>
            <w:shd w:fill="auto" w:val="clear"/>
            <w:tcMar>
              <w:bottom w:w="28" w:type="dxa"/>
            </w:tcMar>
          </w:tcPr>
          <w:p>
            <w:pPr>
              <w:pStyle w:val="TableContents"/>
              <w:spacing w:before="0" w:after="0"/>
              <w:rPr>
                <w:rFonts w:ascii="arial" w:hAnsi="arial"/>
                <w:sz w:val="16"/>
              </w:rPr>
            </w:pPr>
            <w:r>
              <w:rPr>
                <w:rFonts w:ascii="arial" w:hAnsi="arial"/>
                <w:sz w:val="16"/>
              </w:rPr>
              <w:t>C. Mark Hussey</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0" w:type="dxa"/>
            <w:tcBorders>
              <w:bottom w:val="single" w:sz="2" w:space="0" w:color="999999"/>
            </w:tcBorders>
            <w:shd w:fill="auto" w:val="clear"/>
            <w:tcMar>
              <w:bottom w:w="28" w:type="dxa"/>
            </w:tcMar>
            <w:vAlign w:val="bottom"/>
          </w:tcPr>
          <w:p>
            <w:pPr>
              <w:pStyle w:val="TableContents"/>
              <w:spacing w:before="0" w:after="283"/>
              <w:rPr/>
            </w:pPr>
            <w:r>
              <w:rPr/>
              <w:t> </w:t>
            </w:r>
          </w:p>
        </w:tc>
        <w:tc>
          <w:tcPr>
            <w:tcW w:w="114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7,101</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2" w:type="dxa"/>
            <w:tcBorders>
              <w:bottom w:val="single" w:sz="2" w:space="0" w:color="999999"/>
            </w:tcBorders>
            <w:shd w:fill="auto" w:val="clear"/>
            <w:tcMar>
              <w:bottom w:w="28" w:type="dxa"/>
            </w:tcMar>
            <w:vAlign w:val="bottom"/>
          </w:tcPr>
          <w:p>
            <w:pPr>
              <w:pStyle w:val="TableContents"/>
              <w:spacing w:before="0" w:after="283"/>
              <w:rPr/>
            </w:pPr>
            <w:r>
              <w:rPr/>
              <w:t> </w:t>
            </w:r>
          </w:p>
        </w:tc>
        <w:tc>
          <w:tcPr>
            <w:tcW w:w="1171"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3,204</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3" w:type="dxa"/>
            <w:tcBorders>
              <w:bottom w:val="single" w:sz="2" w:space="0" w:color="999999"/>
            </w:tcBorders>
            <w:shd w:fill="auto" w:val="clear"/>
            <w:tcMar>
              <w:bottom w:w="28" w:type="dxa"/>
            </w:tcMar>
            <w:vAlign w:val="bottom"/>
          </w:tcPr>
          <w:p>
            <w:pPr>
              <w:pStyle w:val="TableContents"/>
              <w:spacing w:before="0" w:after="283"/>
              <w:rPr/>
            </w:pPr>
            <w:r>
              <w:rPr/>
              <w:t> </w:t>
            </w:r>
          </w:p>
        </w:tc>
        <w:tc>
          <w:tcPr>
            <w:tcW w:w="143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17,100</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139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5,245</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129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32,650</w:t>
            </w:r>
          </w:p>
        </w:tc>
        <w:tc>
          <w:tcPr>
            <w:tcW w:w="204"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306" w:type="dxa"/>
            <w:tcBorders>
              <w:bottom w:val="single" w:sz="2" w:space="0" w:color="999999"/>
            </w:tcBorders>
            <w:shd w:fill="auto" w:val="clear"/>
            <w:tcMar>
              <w:bottom w:w="28" w:type="dxa"/>
            </w:tcMar>
          </w:tcPr>
          <w:p>
            <w:pPr>
              <w:pStyle w:val="TableContents"/>
              <w:spacing w:before="0" w:after="0"/>
              <w:rPr>
                <w:rFonts w:ascii="arial" w:hAnsi="arial"/>
                <w:sz w:val="16"/>
              </w:rPr>
            </w:pPr>
            <w:r>
              <w:rPr>
                <w:rFonts w:ascii="arial" w:hAnsi="arial"/>
                <w:sz w:val="16"/>
              </w:rPr>
              <w:t>John D. Kelly</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0" w:type="dxa"/>
            <w:tcBorders>
              <w:bottom w:val="single" w:sz="2" w:space="0" w:color="999999"/>
            </w:tcBorders>
            <w:shd w:fill="auto" w:val="clear"/>
            <w:tcMar>
              <w:bottom w:w="28" w:type="dxa"/>
            </w:tcMar>
            <w:vAlign w:val="bottom"/>
          </w:tcPr>
          <w:p>
            <w:pPr>
              <w:pStyle w:val="TableContents"/>
              <w:spacing w:before="0" w:after="283"/>
              <w:rPr/>
            </w:pPr>
            <w:r>
              <w:rPr/>
              <w:t> </w:t>
            </w:r>
          </w:p>
        </w:tc>
        <w:tc>
          <w:tcPr>
            <w:tcW w:w="114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3,749</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2" w:type="dxa"/>
            <w:tcBorders>
              <w:bottom w:val="single" w:sz="2" w:space="0" w:color="999999"/>
            </w:tcBorders>
            <w:shd w:fill="auto" w:val="clear"/>
            <w:tcMar>
              <w:bottom w:w="28" w:type="dxa"/>
            </w:tcMar>
            <w:vAlign w:val="bottom"/>
          </w:tcPr>
          <w:p>
            <w:pPr>
              <w:pStyle w:val="TableContents"/>
              <w:spacing w:before="0" w:after="283"/>
              <w:rPr/>
            </w:pPr>
            <w:r>
              <w:rPr/>
              <w:t> </w:t>
            </w:r>
          </w:p>
        </w:tc>
        <w:tc>
          <w:tcPr>
            <w:tcW w:w="1171"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1,058</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3" w:type="dxa"/>
            <w:tcBorders>
              <w:bottom w:val="single" w:sz="2" w:space="0" w:color="999999"/>
            </w:tcBorders>
            <w:shd w:fill="auto" w:val="clear"/>
            <w:tcMar>
              <w:bottom w:w="28" w:type="dxa"/>
            </w:tcMar>
            <w:vAlign w:val="bottom"/>
          </w:tcPr>
          <w:p>
            <w:pPr>
              <w:pStyle w:val="TableContents"/>
              <w:spacing w:before="0" w:after="283"/>
              <w:rPr/>
            </w:pPr>
            <w:r>
              <w:rPr/>
              <w:t> </w:t>
            </w:r>
          </w:p>
        </w:tc>
        <w:tc>
          <w:tcPr>
            <w:tcW w:w="143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17,100</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139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4,770</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129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26,677</w:t>
            </w:r>
          </w:p>
        </w:tc>
        <w:tc>
          <w:tcPr>
            <w:tcW w:w="204"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306" w:type="dxa"/>
            <w:tcBorders>
              <w:bottom w:val="single" w:sz="2" w:space="0" w:color="999999"/>
            </w:tcBorders>
            <w:shd w:fill="auto" w:val="clear"/>
            <w:tcMar>
              <w:bottom w:w="28" w:type="dxa"/>
            </w:tcMar>
          </w:tcPr>
          <w:p>
            <w:pPr>
              <w:pStyle w:val="TableContents"/>
              <w:spacing w:before="0" w:after="0"/>
              <w:rPr>
                <w:rFonts w:ascii="arial" w:hAnsi="arial"/>
                <w:sz w:val="16"/>
              </w:rPr>
            </w:pPr>
            <w:r>
              <w:rPr>
                <w:rFonts w:ascii="arial" w:hAnsi="arial"/>
                <w:sz w:val="16"/>
              </w:rPr>
              <w:t>Ernest W. Torain, Jr.</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0" w:type="dxa"/>
            <w:tcBorders>
              <w:bottom w:val="single" w:sz="2" w:space="0" w:color="999999"/>
            </w:tcBorders>
            <w:shd w:fill="auto" w:val="clear"/>
            <w:tcMar>
              <w:bottom w:w="28" w:type="dxa"/>
            </w:tcMar>
            <w:vAlign w:val="bottom"/>
          </w:tcPr>
          <w:p>
            <w:pPr>
              <w:pStyle w:val="TableContents"/>
              <w:spacing w:before="0" w:after="283"/>
              <w:rPr/>
            </w:pPr>
            <w:r>
              <w:rPr/>
              <w:t> </w:t>
            </w:r>
          </w:p>
        </w:tc>
        <w:tc>
          <w:tcPr>
            <w:tcW w:w="114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1,759</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2" w:type="dxa"/>
            <w:tcBorders>
              <w:bottom w:val="single" w:sz="2" w:space="0" w:color="999999"/>
            </w:tcBorders>
            <w:shd w:fill="auto" w:val="clear"/>
            <w:tcMar>
              <w:bottom w:w="28" w:type="dxa"/>
            </w:tcMar>
            <w:vAlign w:val="bottom"/>
          </w:tcPr>
          <w:p>
            <w:pPr>
              <w:pStyle w:val="TableContents"/>
              <w:spacing w:before="0" w:after="283"/>
              <w:rPr/>
            </w:pPr>
            <w:r>
              <w:rPr/>
              <w:t> </w:t>
            </w:r>
          </w:p>
        </w:tc>
        <w:tc>
          <w:tcPr>
            <w:tcW w:w="1171"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3,708</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13" w:type="dxa"/>
            <w:tcBorders>
              <w:bottom w:val="single" w:sz="2" w:space="0" w:color="999999"/>
            </w:tcBorders>
            <w:shd w:fill="auto" w:val="clear"/>
            <w:tcMar>
              <w:bottom w:w="28" w:type="dxa"/>
            </w:tcMar>
            <w:vAlign w:val="bottom"/>
          </w:tcPr>
          <w:p>
            <w:pPr>
              <w:pStyle w:val="TableContents"/>
              <w:spacing w:before="0" w:after="283"/>
              <w:rPr/>
            </w:pPr>
            <w:r>
              <w:rPr/>
              <w:t> </w:t>
            </w:r>
          </w:p>
        </w:tc>
        <w:tc>
          <w:tcPr>
            <w:tcW w:w="143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15,300</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09" w:type="dxa"/>
            <w:tcBorders>
              <w:bottom w:val="single" w:sz="2" w:space="0" w:color="999999"/>
            </w:tcBorders>
            <w:shd w:fill="auto" w:val="clear"/>
            <w:tcMar>
              <w:bottom w:w="28" w:type="dxa"/>
            </w:tcMar>
            <w:vAlign w:val="bottom"/>
          </w:tcPr>
          <w:p>
            <w:pPr>
              <w:pStyle w:val="TableContents"/>
              <w:spacing w:before="0" w:after="283"/>
              <w:rPr/>
            </w:pPr>
            <w:r>
              <w:rPr/>
              <w:t> </w:t>
            </w:r>
          </w:p>
        </w:tc>
        <w:tc>
          <w:tcPr>
            <w:tcW w:w="139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4,770</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90" w:type="dxa"/>
            <w:tcBorders>
              <w:bottom w:val="single" w:sz="2" w:space="0" w:color="999999"/>
            </w:tcBorders>
            <w:shd w:fill="auto" w:val="clear"/>
            <w:tcMar>
              <w:bottom w:w="28" w:type="dxa"/>
            </w:tcMar>
            <w:vAlign w:val="bottom"/>
          </w:tcPr>
          <w:p>
            <w:pPr>
              <w:pStyle w:val="TableContents"/>
              <w:spacing w:before="0" w:after="283"/>
              <w:rPr/>
            </w:pPr>
            <w:r>
              <w:rPr/>
              <w:t> </w:t>
            </w:r>
          </w:p>
        </w:tc>
        <w:tc>
          <w:tcPr>
            <w:tcW w:w="100" w:type="dxa"/>
            <w:tcBorders>
              <w:bottom w:val="single" w:sz="2" w:space="0" w:color="999999"/>
            </w:tcBorders>
            <w:shd w:fill="auto" w:val="clear"/>
            <w:tcMar>
              <w:bottom w:w="28" w:type="dxa"/>
            </w:tcMar>
            <w:vAlign w:val="bottom"/>
          </w:tcPr>
          <w:p>
            <w:pPr>
              <w:pStyle w:val="TableContents"/>
              <w:spacing w:before="0" w:after="283"/>
              <w:rPr/>
            </w:pPr>
            <w:r>
              <w:rPr/>
              <w:t> </w:t>
            </w:r>
          </w:p>
        </w:tc>
        <w:tc>
          <w:tcPr>
            <w:tcW w:w="1293"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25,537</w:t>
            </w:r>
          </w:p>
        </w:tc>
        <w:tc>
          <w:tcPr>
            <w:tcW w:w="204"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306" w:type="dxa"/>
            <w:tcBorders>
              <w:bottom w:val="single" w:sz="2" w:space="0" w:color="00548B"/>
            </w:tcBorders>
            <w:shd w:fill="auto" w:val="clear"/>
            <w:tcMar>
              <w:bottom w:w="28" w:type="dxa"/>
            </w:tcMar>
          </w:tcPr>
          <w:p>
            <w:pPr>
              <w:pStyle w:val="TableContents"/>
              <w:spacing w:before="0" w:after="0"/>
              <w:rPr>
                <w:rFonts w:ascii="arial" w:hAnsi="arial"/>
                <w:sz w:val="16"/>
              </w:rPr>
            </w:pPr>
            <w:r>
              <w:rPr>
                <w:rFonts w:ascii="arial" w:hAnsi="arial"/>
                <w:sz w:val="16"/>
              </w:rPr>
              <w:t>Diane E. Ratekin</w:t>
            </w:r>
          </w:p>
        </w:tc>
        <w:tc>
          <w:tcPr>
            <w:tcW w:w="190" w:type="dxa"/>
            <w:tcBorders>
              <w:bottom w:val="single" w:sz="2" w:space="0" w:color="00548B"/>
            </w:tcBorders>
            <w:shd w:fill="auto" w:val="clear"/>
            <w:tcMar>
              <w:bottom w:w="28" w:type="dxa"/>
            </w:tcMar>
            <w:vAlign w:val="bottom"/>
          </w:tcPr>
          <w:p>
            <w:pPr>
              <w:pStyle w:val="TableContents"/>
              <w:spacing w:before="0" w:after="283"/>
              <w:rPr/>
            </w:pPr>
            <w:r>
              <w:rPr/>
              <w:t> </w:t>
            </w:r>
          </w:p>
        </w:tc>
        <w:tc>
          <w:tcPr>
            <w:tcW w:w="110" w:type="dxa"/>
            <w:tcBorders>
              <w:bottom w:val="single" w:sz="2" w:space="0" w:color="00548B"/>
            </w:tcBorders>
            <w:shd w:fill="auto" w:val="clear"/>
            <w:tcMar>
              <w:bottom w:w="28" w:type="dxa"/>
            </w:tcMar>
            <w:vAlign w:val="bottom"/>
          </w:tcPr>
          <w:p>
            <w:pPr>
              <w:pStyle w:val="TableContents"/>
              <w:spacing w:before="0" w:after="283"/>
              <w:rPr/>
            </w:pPr>
            <w:r>
              <w:rPr/>
              <w:t> </w:t>
            </w:r>
          </w:p>
        </w:tc>
        <w:tc>
          <w:tcPr>
            <w:tcW w:w="114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8,428</w:t>
            </w:r>
          </w:p>
        </w:tc>
        <w:tc>
          <w:tcPr>
            <w:tcW w:w="190" w:type="dxa"/>
            <w:tcBorders>
              <w:bottom w:val="single" w:sz="2" w:space="0" w:color="00548B"/>
            </w:tcBorders>
            <w:shd w:fill="auto" w:val="clear"/>
            <w:tcMar>
              <w:bottom w:w="28" w:type="dxa"/>
            </w:tcMar>
            <w:vAlign w:val="bottom"/>
          </w:tcPr>
          <w:p>
            <w:pPr>
              <w:pStyle w:val="TableContents"/>
              <w:spacing w:before="0" w:after="283"/>
              <w:rPr/>
            </w:pPr>
            <w:r>
              <w:rPr/>
              <w:t> </w:t>
            </w:r>
          </w:p>
        </w:tc>
        <w:tc>
          <w:tcPr>
            <w:tcW w:w="190" w:type="dxa"/>
            <w:tcBorders>
              <w:bottom w:val="single" w:sz="2" w:space="0" w:color="00548B"/>
            </w:tcBorders>
            <w:shd w:fill="auto" w:val="clear"/>
            <w:tcMar>
              <w:bottom w:w="28" w:type="dxa"/>
            </w:tcMar>
            <w:vAlign w:val="bottom"/>
          </w:tcPr>
          <w:p>
            <w:pPr>
              <w:pStyle w:val="TableContents"/>
              <w:spacing w:before="0" w:after="283"/>
              <w:rPr/>
            </w:pPr>
            <w:r>
              <w:rPr/>
              <w:t> </w:t>
            </w:r>
          </w:p>
        </w:tc>
        <w:tc>
          <w:tcPr>
            <w:tcW w:w="112" w:type="dxa"/>
            <w:tcBorders>
              <w:bottom w:val="single" w:sz="2" w:space="0" w:color="00548B"/>
            </w:tcBorders>
            <w:shd w:fill="auto" w:val="clear"/>
            <w:tcMar>
              <w:bottom w:w="28" w:type="dxa"/>
            </w:tcMar>
            <w:vAlign w:val="bottom"/>
          </w:tcPr>
          <w:p>
            <w:pPr>
              <w:pStyle w:val="TableContents"/>
              <w:spacing w:before="0" w:after="283"/>
              <w:rPr/>
            </w:pPr>
            <w:r>
              <w:rPr/>
              <w:t> </w:t>
            </w:r>
          </w:p>
        </w:tc>
        <w:tc>
          <w:tcPr>
            <w:tcW w:w="1171"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7,488</w:t>
            </w:r>
          </w:p>
        </w:tc>
        <w:tc>
          <w:tcPr>
            <w:tcW w:w="190" w:type="dxa"/>
            <w:tcBorders>
              <w:bottom w:val="single" w:sz="2" w:space="0" w:color="00548B"/>
            </w:tcBorders>
            <w:shd w:fill="auto" w:val="clear"/>
            <w:tcMar>
              <w:bottom w:w="28" w:type="dxa"/>
            </w:tcMar>
            <w:vAlign w:val="bottom"/>
          </w:tcPr>
          <w:p>
            <w:pPr>
              <w:pStyle w:val="TableContents"/>
              <w:spacing w:before="0" w:after="283"/>
              <w:rPr/>
            </w:pPr>
            <w:r>
              <w:rPr/>
              <w:t> </w:t>
            </w:r>
          </w:p>
        </w:tc>
        <w:tc>
          <w:tcPr>
            <w:tcW w:w="190" w:type="dxa"/>
            <w:tcBorders>
              <w:bottom w:val="single" w:sz="2" w:space="0" w:color="00548B"/>
            </w:tcBorders>
            <w:shd w:fill="auto" w:val="clear"/>
            <w:tcMar>
              <w:bottom w:w="28" w:type="dxa"/>
            </w:tcMar>
            <w:vAlign w:val="bottom"/>
          </w:tcPr>
          <w:p>
            <w:pPr>
              <w:pStyle w:val="TableContents"/>
              <w:spacing w:before="0" w:after="283"/>
              <w:rPr/>
            </w:pPr>
            <w:r>
              <w:rPr/>
              <w:t> </w:t>
            </w:r>
          </w:p>
        </w:tc>
        <w:tc>
          <w:tcPr>
            <w:tcW w:w="113" w:type="dxa"/>
            <w:tcBorders>
              <w:bottom w:val="single" w:sz="2" w:space="0" w:color="00548B"/>
            </w:tcBorders>
            <w:shd w:fill="auto" w:val="clear"/>
            <w:tcMar>
              <w:bottom w:w="28" w:type="dxa"/>
            </w:tcMar>
            <w:vAlign w:val="bottom"/>
          </w:tcPr>
          <w:p>
            <w:pPr>
              <w:pStyle w:val="TableContents"/>
              <w:spacing w:before="0" w:after="283"/>
              <w:rPr/>
            </w:pPr>
            <w:r>
              <w:rPr/>
              <w:t> </w:t>
            </w:r>
          </w:p>
        </w:tc>
        <w:tc>
          <w:tcPr>
            <w:tcW w:w="143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17,100</w:t>
            </w:r>
          </w:p>
        </w:tc>
        <w:tc>
          <w:tcPr>
            <w:tcW w:w="190" w:type="dxa"/>
            <w:tcBorders>
              <w:bottom w:val="single" w:sz="2" w:space="0" w:color="00548B"/>
            </w:tcBorders>
            <w:shd w:fill="auto" w:val="clear"/>
            <w:tcMar>
              <w:bottom w:w="28" w:type="dxa"/>
            </w:tcMar>
            <w:vAlign w:val="bottom"/>
          </w:tcPr>
          <w:p>
            <w:pPr>
              <w:pStyle w:val="TableContents"/>
              <w:spacing w:before="0" w:after="283"/>
              <w:rPr/>
            </w:pPr>
            <w:r>
              <w:rPr/>
              <w:t> </w:t>
            </w:r>
          </w:p>
        </w:tc>
        <w:tc>
          <w:tcPr>
            <w:tcW w:w="190" w:type="dxa"/>
            <w:tcBorders>
              <w:bottom w:val="single" w:sz="2" w:space="0" w:color="00548B"/>
            </w:tcBorders>
            <w:shd w:fill="auto" w:val="clear"/>
            <w:tcMar>
              <w:bottom w:w="28" w:type="dxa"/>
            </w:tcMar>
            <w:vAlign w:val="bottom"/>
          </w:tcPr>
          <w:p>
            <w:pPr>
              <w:pStyle w:val="TableContents"/>
              <w:spacing w:before="0" w:after="283"/>
              <w:rPr/>
            </w:pPr>
            <w:r>
              <w:rPr/>
              <w:t> </w:t>
            </w:r>
          </w:p>
        </w:tc>
        <w:tc>
          <w:tcPr>
            <w:tcW w:w="109" w:type="dxa"/>
            <w:tcBorders>
              <w:bottom w:val="single" w:sz="2" w:space="0" w:color="00548B"/>
            </w:tcBorders>
            <w:shd w:fill="auto" w:val="clear"/>
            <w:tcMar>
              <w:bottom w:w="28" w:type="dxa"/>
            </w:tcMar>
            <w:vAlign w:val="bottom"/>
          </w:tcPr>
          <w:p>
            <w:pPr>
              <w:pStyle w:val="TableContents"/>
              <w:spacing w:before="0" w:after="283"/>
              <w:rPr/>
            </w:pPr>
            <w:r>
              <w:rPr/>
              <w:t> </w:t>
            </w:r>
          </w:p>
        </w:tc>
        <w:tc>
          <w:tcPr>
            <w:tcW w:w="1397"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190" w:type="dxa"/>
            <w:tcBorders>
              <w:bottom w:val="single" w:sz="2" w:space="0" w:color="00548B"/>
            </w:tcBorders>
            <w:shd w:fill="auto" w:val="clear"/>
            <w:tcMar>
              <w:bottom w:w="28" w:type="dxa"/>
            </w:tcMar>
            <w:vAlign w:val="bottom"/>
          </w:tcPr>
          <w:p>
            <w:pPr>
              <w:pStyle w:val="TableContents"/>
              <w:spacing w:before="0" w:after="283"/>
              <w:rPr/>
            </w:pPr>
            <w:r>
              <w:rPr/>
              <w:t> </w:t>
            </w:r>
          </w:p>
        </w:tc>
        <w:tc>
          <w:tcPr>
            <w:tcW w:w="190" w:type="dxa"/>
            <w:tcBorders>
              <w:bottom w:val="single" w:sz="2" w:space="0" w:color="00548B"/>
            </w:tcBorders>
            <w:shd w:fill="auto" w:val="clear"/>
            <w:tcMar>
              <w:bottom w:w="28" w:type="dxa"/>
            </w:tcMar>
            <w:vAlign w:val="bottom"/>
          </w:tcPr>
          <w:p>
            <w:pPr>
              <w:pStyle w:val="TableContents"/>
              <w:spacing w:before="0" w:after="283"/>
              <w:rPr/>
            </w:pPr>
            <w:r>
              <w:rPr/>
              <w:t> </w:t>
            </w:r>
          </w:p>
        </w:tc>
        <w:tc>
          <w:tcPr>
            <w:tcW w:w="100" w:type="dxa"/>
            <w:tcBorders>
              <w:bottom w:val="single" w:sz="2" w:space="0" w:color="00548B"/>
            </w:tcBorders>
            <w:shd w:fill="auto" w:val="clear"/>
            <w:tcMar>
              <w:bottom w:w="28" w:type="dxa"/>
            </w:tcMar>
            <w:vAlign w:val="bottom"/>
          </w:tcPr>
          <w:p>
            <w:pPr>
              <w:pStyle w:val="TableContents"/>
              <w:spacing w:before="0" w:after="283"/>
              <w:rPr/>
            </w:pPr>
            <w:r>
              <w:rPr/>
              <w:t> </w:t>
            </w:r>
          </w:p>
        </w:tc>
        <w:tc>
          <w:tcPr>
            <w:tcW w:w="1293"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33,016</w:t>
            </w:r>
          </w:p>
        </w:tc>
        <w:tc>
          <w:tcPr>
            <w:tcW w:w="204"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Executive Long-Term Disability is provided to all executives and managing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(2)</w:t>
            </w:r>
          </w:p>
        </w:tc>
        <w:tc>
          <w:tcPr>
            <w:tcW w:w="9695" w:type="dxa"/>
            <w:tcBorders/>
            <w:shd w:fill="auto" w:val="clear"/>
          </w:tcPr>
          <w:p>
            <w:pPr>
              <w:pStyle w:val="TableContents"/>
              <w:spacing w:before="0" w:after="0"/>
              <w:jc w:val="both"/>
              <w:rPr>
                <w:rFonts w:ascii="arial" w:hAnsi="arial"/>
                <w:sz w:val="18"/>
              </w:rPr>
            </w:pPr>
            <w:r>
              <w:rPr>
                <w:rFonts w:ascii="arial" w:hAnsi="arial"/>
                <w:sz w:val="18"/>
              </w:rPr>
              <w:t xml:space="preserve">Executive Term Life Insurance is provided to all executives and managing directors.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Huron provides a Company 401(k) match to all participating employees.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Other Benefits and Perquisites include the cost of executive physicals, which Huron pays for executives and certain managing directors, and with respect to Mr. Roth, his personal use of a company aircraft. </w:t>
            </w:r>
          </w:p>
        </w:tc>
      </w:tr>
    </w:tbl>
    <w:p>
      <w:pPr>
        <w:pStyle w:val="TextBody"/>
        <w:spacing w:before="200" w:after="0"/>
        <w:jc w:val="both"/>
        <w:rPr>
          <w:rFonts w:ascii="arial" w:hAnsi="arial"/>
          <w:b/>
          <w:i/>
          <w:color w:val="00548B"/>
          <w:sz w:val="18"/>
        </w:rPr>
      </w:pPr>
      <w:r>
        <w:rPr>
          <w:rFonts w:ascii="arial" w:hAnsi="arial"/>
          <w:b/>
          <w:i/>
          <w:color w:val="00548B"/>
          <w:sz w:val="18"/>
        </w:rPr>
        <w:t xml:space="preserve">CEO Pay Ratio </w:t>
      </w:r>
    </w:p>
    <w:p>
      <w:pPr>
        <w:pStyle w:val="TextBody"/>
        <w:spacing w:before="0" w:after="0"/>
        <w:jc w:val="both"/>
        <w:rPr>
          <w:rFonts w:ascii="arial" w:hAnsi="arial"/>
          <w:sz w:val="18"/>
        </w:rPr>
      </w:pPr>
      <w:r>
        <w:rPr>
          <w:rFonts w:ascii="arial" w:hAnsi="arial"/>
          <w:sz w:val="18"/>
        </w:rPr>
        <w:t xml:space="preserve">As required by Section 953(b) of the Dodd-Frank Wall Street Reform and Consumer Protection Act, the Company is providing the following disclosure about the relationship of the annual total compensation of our median-paid employee to the annual total compensation of Mr. Roth, our CEO. We believe that the pay ratio disclosed below is a reasonable estimate calculated in a manner consistent with Item 402(u) of Regulation S-K. SEC rules for identifying the median employee and calculating the pay ratio allow companies to apply various methodologies and apply various assumptions and, as a result, the pay ratio reported by us may not be comparable to the pay ratio reported by other companies. </w:t>
      </w:r>
    </w:p>
    <w:p>
      <w:pPr>
        <w:pStyle w:val="TextBody"/>
        <w:spacing w:before="200" w:after="0"/>
        <w:jc w:val="both"/>
        <w:rPr>
          <w:rFonts w:ascii="arial" w:hAnsi="arial"/>
          <w:sz w:val="18"/>
        </w:rPr>
      </w:pPr>
      <w:r>
        <w:rPr>
          <w:rFonts w:ascii="arial" w:hAnsi="arial"/>
          <w:sz w:val="18"/>
        </w:rPr>
        <w:t xml:space="preserve">For 2020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The annual total compensation of our median employee, was $142,706.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Mr. Roths annual total compensation, as reflected in the Summary Compensation Table included in this Proxy Statement, was $3,983,458.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Based on this information, the ratio of the annual total compensation of Mr. Roth to the annual total compensation of our median employee is estimated to be 27.9 to 1. </w:t>
            </w:r>
          </w:p>
        </w:tc>
      </w:tr>
    </w:tbl>
    <w:p>
      <w:pPr>
        <w:pStyle w:val="TextBody"/>
        <w:spacing w:before="200" w:after="0"/>
        <w:jc w:val="both"/>
        <w:rPr>
          <w:rFonts w:ascii="arial" w:hAnsi="arial"/>
          <w:sz w:val="18"/>
        </w:rPr>
      </w:pPr>
      <w:r>
        <w:rPr>
          <w:rFonts w:ascii="arial" w:hAnsi="arial"/>
          <w:sz w:val="18"/>
        </w:rPr>
        <w:t xml:space="preserve">The calculation of the 2020 CEO Pay Ratio used the same median employee as used in 2019. As permitted by SEC rules, we used the same median employee that was identified in the preparation of our pay ratio in 2019 because there has been no change in our employee population or compensation arrangements that we believe would significantly impact our pay ratio disclosure. In 2019, we identified the median employee by examining the 2019 total compensation for all individuals using the same methodology we use for our NEOs as set forth in the 2019 Summary Compensation Table, excluding our CEO, who were employed by us on December 31, 2019. We included all employees, whether employed on a full-time or part-time basis. We annualized the base compensation and bonus for all employees that were not employed by us for all of 2019 unless they were designated as temporary or seasonal positions. </w:t>
      </w:r>
    </w:p>
    <w:p>
      <w:pPr>
        <w:pStyle w:val="TextBody"/>
        <w:spacing w:before="200" w:after="0"/>
        <w:jc w:val="both"/>
        <w:rPr>
          <w:rFonts w:ascii="arial" w:hAnsi="arial"/>
          <w:sz w:val="18"/>
        </w:rPr>
      </w:pPr>
      <w:r>
        <w:rPr>
          <w:rFonts w:ascii="arial" w:hAnsi="arial"/>
          <w:sz w:val="18"/>
        </w:rPr>
        <w:t xml:space="preserve">In addition, in order to identify our median employee in 2019, we (i) utilized the exemption permitted under Item 402(u) of Regulation S-K to exclude a total of 140 employees from Canada, the United Kingdom, Singapore, and Switzerland (which, in the aggregate, comprised less than 5% of our total employee population as of December 31, 2019), resulting in a net employee population of 3,811 and (ii) adjusted non-U.S. employee pay applying foreign currency exchange rates as of December 31, 2019. </w:t>
      </w:r>
    </w:p>
    <w:p>
      <w:pPr>
        <w:pStyle w:val="TextBody"/>
        <w:spacing w:before="200" w:after="0"/>
        <w:jc w:val="both"/>
        <w:rPr>
          <w:rFonts w:ascii="arial" w:hAnsi="arial"/>
          <w:sz w:val="18"/>
        </w:rPr>
      </w:pPr>
      <w:r>
        <w:rPr>
          <w:rFonts w:ascii="arial" w:hAnsi="arial"/>
          <w:sz w:val="18"/>
        </w:rPr>
        <w:t xml:space="preserve">When identifying the median employee for the 2019 Proxy Statement, we included all forms of compensation, including one-time, special and retention awards to identify our median employee. This resulted in identifying a median employee with compensation substantially similar to that of our median employee in the prior year. </w:t>
      </w:r>
    </w:p>
    <w:p>
      <w:pPr>
        <w:pStyle w:val="TextBody"/>
        <w:spacing w:before="200" w:after="0"/>
        <w:jc w:val="both"/>
        <w:rPr>
          <w:rFonts w:ascii="arial" w:hAnsi="arial"/>
          <w:sz w:val="18"/>
        </w:rPr>
      </w:pPr>
      <w:r>
        <w:rPr>
          <w:rFonts w:ascii="arial" w:hAnsi="arial"/>
          <w:sz w:val="18"/>
        </w:rPr>
        <w:t xml:space="preserve">We calculated 2020 annual total compensation for our median employee using the same methodology we use for our NEOs as set forth in the Summary Compensation Table.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0"/>
        </w:rPr>
      </w:pPr>
      <w:bookmarkStart w:id="27" w:name="toc170561_25"/>
      <w:bookmarkEnd w:id="27"/>
      <w:r>
        <w:rPr>
          <w:rFonts w:ascii="arial" w:hAnsi="arial"/>
          <w:b/>
          <w:color w:val="00548B"/>
          <w:sz w:val="20"/>
        </w:rPr>
        <w:t>2020 G</w:t>
      </w:r>
      <w:r>
        <w:rPr>
          <w:rFonts w:ascii="arial" w:hAnsi="arial"/>
          <w:b/>
          <w:color w:val="00548B"/>
          <w:sz w:val="14"/>
        </w:rPr>
        <w:t>RANTS</w:t>
      </w:r>
      <w:r>
        <w:rPr>
          <w:rFonts w:ascii="arial" w:hAnsi="arial"/>
          <w:b/>
          <w:color w:val="00548B"/>
          <w:sz w:val="20"/>
        </w:rPr>
        <w:t xml:space="preserve"> </w:t>
      </w:r>
      <w:r>
        <w:rPr>
          <w:rFonts w:ascii="arial" w:hAnsi="arial"/>
          <w:b/>
          <w:color w:val="00548B"/>
          <w:sz w:val="14"/>
        </w:rPr>
        <w:t>OF</w:t>
      </w:r>
      <w:r>
        <w:rPr>
          <w:rFonts w:ascii="arial" w:hAnsi="arial"/>
          <w:b/>
          <w:color w:val="00548B"/>
          <w:sz w:val="20"/>
        </w:rPr>
        <w:t xml:space="preserve"> P</w:t>
      </w:r>
      <w:r>
        <w:rPr>
          <w:rFonts w:ascii="arial" w:hAnsi="arial"/>
          <w:b/>
          <w:color w:val="00548B"/>
          <w:sz w:val="14"/>
        </w:rPr>
        <w:t>LAN</w:t>
      </w:r>
      <w:r>
        <w:rPr>
          <w:rFonts w:ascii="arial" w:hAnsi="arial"/>
          <w:b/>
          <w:color w:val="00548B"/>
          <w:sz w:val="20"/>
        </w:rPr>
        <w:t>-B</w:t>
      </w:r>
      <w:r>
        <w:rPr>
          <w:rFonts w:ascii="arial" w:hAnsi="arial"/>
          <w:b/>
          <w:color w:val="00548B"/>
          <w:sz w:val="14"/>
        </w:rPr>
        <w:t>ASED</w:t>
      </w:r>
      <w:r>
        <w:rPr>
          <w:rFonts w:ascii="arial" w:hAnsi="arial"/>
          <w:b/>
          <w:color w:val="00548B"/>
          <w:sz w:val="20"/>
        </w:rPr>
        <w:t xml:space="preserve"> A</w:t>
      </w:r>
      <w:r>
        <w:rPr>
          <w:rFonts w:ascii="arial" w:hAnsi="arial"/>
          <w:b/>
          <w:color w:val="00548B"/>
          <w:sz w:val="14"/>
        </w:rPr>
        <w:t>WARDS</w:t>
      </w:r>
      <w:r>
        <w:rPr>
          <w:rFonts w:ascii="arial" w:hAnsi="arial"/>
          <w:b/>
          <w:color w:val="00548B"/>
          <w:sz w:val="20"/>
        </w:rPr>
        <w:t xml:space="preserve"> </w:t>
      </w:r>
    </w:p>
    <w:p>
      <w:pPr>
        <w:pStyle w:val="TextBody"/>
        <w:spacing w:before="120" w:after="0"/>
        <w:jc w:val="both"/>
        <w:rPr>
          <w:rFonts w:ascii="arial" w:hAnsi="arial"/>
          <w:sz w:val="18"/>
        </w:rPr>
      </w:pPr>
      <w:r>
        <w:rPr>
          <w:rFonts w:ascii="arial" w:hAnsi="arial"/>
          <w:sz w:val="18"/>
        </w:rPr>
        <w:t xml:space="preserve">The following table summarizes the grants of equity awards and annual cash incentive awards for 2020 to each named executive officer. </w:t>
      </w:r>
    </w:p>
    <w:p>
      <w:pPr>
        <w:pStyle w:val="TextBody"/>
        <w:spacing w:before="0" w:after="0"/>
        <w:jc w:val="left"/>
        <w:rPr/>
      </w:pPr>
      <w:r>
        <w:rPr/>
        <w:t> </w:t>
      </w:r>
    </w:p>
    <w:tbl>
      <w:tblPr>
        <w:tblW w:w="12295" w:type="dxa"/>
        <w:jc w:val="center"/>
        <w:tblInd w:w="0" w:type="dxa"/>
        <w:tblCellMar>
          <w:top w:w="0" w:type="dxa"/>
          <w:left w:w="0" w:type="dxa"/>
          <w:bottom w:w="0" w:type="dxa"/>
          <w:right w:w="0" w:type="dxa"/>
        </w:tblCellMar>
      </w:tblPr>
      <w:tblGrid>
        <w:gridCol w:w="1535"/>
        <w:gridCol w:w="60"/>
        <w:gridCol w:w="60"/>
        <w:gridCol w:w="560"/>
        <w:gridCol w:w="60"/>
        <w:gridCol w:w="60"/>
        <w:gridCol w:w="60"/>
        <w:gridCol w:w="860"/>
        <w:gridCol w:w="60"/>
        <w:gridCol w:w="60"/>
        <w:gridCol w:w="60"/>
        <w:gridCol w:w="890"/>
        <w:gridCol w:w="60"/>
        <w:gridCol w:w="60"/>
        <w:gridCol w:w="60"/>
        <w:gridCol w:w="1085"/>
        <w:gridCol w:w="60"/>
        <w:gridCol w:w="60"/>
        <w:gridCol w:w="60"/>
        <w:gridCol w:w="1085"/>
        <w:gridCol w:w="60"/>
        <w:gridCol w:w="60"/>
        <w:gridCol w:w="60"/>
        <w:gridCol w:w="60"/>
        <w:gridCol w:w="60"/>
        <w:gridCol w:w="60"/>
        <w:gridCol w:w="60"/>
        <w:gridCol w:w="620"/>
        <w:gridCol w:w="60"/>
        <w:gridCol w:w="60"/>
        <w:gridCol w:w="60"/>
        <w:gridCol w:w="755"/>
        <w:gridCol w:w="60"/>
        <w:gridCol w:w="60"/>
        <w:gridCol w:w="60"/>
        <w:gridCol w:w="755"/>
        <w:gridCol w:w="60"/>
        <w:gridCol w:w="60"/>
        <w:gridCol w:w="60"/>
        <w:gridCol w:w="1025"/>
        <w:gridCol w:w="60"/>
        <w:gridCol w:w="60"/>
        <w:gridCol w:w="60"/>
        <w:gridCol w:w="1085"/>
        <w:gridCol w:w="60"/>
      </w:tblGrid>
      <w:tr>
        <w:trPr/>
        <w:tc>
          <w:tcPr>
            <w:tcW w:w="15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08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535"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620" w:type="dxa"/>
            <w:gridSpan w:val="2"/>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920" w:type="dxa"/>
            <w:gridSpan w:val="2"/>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c>
          <w:tcPr>
            <w:tcW w:w="3480" w:type="dxa"/>
            <w:gridSpan w:val="10"/>
            <w:tcBorders>
              <w:bottom w:val="single" w:sz="2" w:space="0" w:color="D8D8D8"/>
            </w:tcBorders>
            <w:shd w:fill="00548B" w:val="clear"/>
            <w:tcMar>
              <w:bottom w:w="28" w:type="dxa"/>
            </w:tcMar>
            <w:vAlign w:val="bottom"/>
          </w:tcPr>
          <w:p>
            <w:pPr>
              <w:pStyle w:val="TableContents"/>
              <w:spacing w:before="0" w:after="0"/>
              <w:jc w:val="center"/>
              <w:rPr>
                <w:rFonts w:ascii="arial" w:hAnsi="arial"/>
                <w:b/>
                <w:color w:val="D8D8D8"/>
                <w:sz w:val="14"/>
              </w:rPr>
            </w:pPr>
            <w:r>
              <w:rPr>
                <w:rFonts w:ascii="arial" w:hAnsi="arial"/>
                <w:b/>
                <w:color w:val="D8D8D8"/>
                <w:sz w:val="14"/>
              </w:rPr>
              <w:t>Estimated Future Payouts</w:t>
            </w:r>
          </w:p>
          <w:p>
            <w:pPr>
              <w:pStyle w:val="TableContents"/>
              <w:spacing w:before="0" w:after="0"/>
              <w:jc w:val="center"/>
              <w:rPr>
                <w:rFonts w:ascii="arial" w:hAnsi="arial"/>
                <w:b/>
                <w:color w:val="D8D8D8"/>
                <w:sz w:val="14"/>
              </w:rPr>
            </w:pPr>
            <w:r>
              <w:rPr>
                <w:rFonts w:ascii="arial" w:hAnsi="arial"/>
                <w:b/>
                <w:color w:val="D8D8D8"/>
                <w:sz w:val="14"/>
              </w:rPr>
              <w:t>Under Non Equity Incentive</w:t>
            </w:r>
          </w:p>
          <w:p>
            <w:pPr>
              <w:pStyle w:val="TableContents"/>
              <w:spacing w:before="0" w:after="20"/>
              <w:jc w:val="center"/>
              <w:rPr>
                <w:rFonts w:ascii="arial" w:hAnsi="arial"/>
                <w:b/>
                <w:color w:val="D8D8D8"/>
                <w:sz w:val="14"/>
              </w:rPr>
            </w:pPr>
            <w:r>
              <w:rPr>
                <w:rFonts w:ascii="arial" w:hAnsi="arial"/>
                <w:b/>
                <w:color w:val="D8D8D8"/>
                <w:sz w:val="14"/>
              </w:rPr>
              <w:t>Plan Awards (1)(6)</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120" w:type="dxa"/>
            <w:gridSpan w:val="2"/>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2550" w:type="dxa"/>
            <w:gridSpan w:val="10"/>
            <w:tcBorders/>
            <w:shd w:fill="00548B" w:val="clear"/>
            <w:vAlign w:val="bottom"/>
          </w:tcPr>
          <w:p>
            <w:pPr>
              <w:pStyle w:val="TableContents"/>
              <w:spacing w:before="0" w:after="0"/>
              <w:jc w:val="center"/>
              <w:rPr>
                <w:rFonts w:ascii="arial" w:hAnsi="arial"/>
                <w:b/>
                <w:color w:val="D8D8D8"/>
                <w:sz w:val="14"/>
              </w:rPr>
            </w:pPr>
            <w:r>
              <w:rPr>
                <w:rFonts w:ascii="arial" w:hAnsi="arial"/>
                <w:b/>
                <w:color w:val="D8D8D8"/>
                <w:sz w:val="14"/>
              </w:rPr>
              <w:t>Estimated Future Payouts</w:t>
            </w:r>
          </w:p>
          <w:p>
            <w:pPr>
              <w:pStyle w:val="TableContents"/>
              <w:spacing w:before="0" w:after="0"/>
              <w:jc w:val="center"/>
              <w:rPr>
                <w:rFonts w:ascii="arial" w:hAnsi="arial"/>
                <w:b/>
                <w:color w:val="D8D8D8"/>
                <w:sz w:val="14"/>
              </w:rPr>
            </w:pPr>
            <w:r>
              <w:rPr>
                <w:rFonts w:ascii="arial" w:hAnsi="arial"/>
                <w:b/>
                <w:color w:val="D8D8D8"/>
                <w:sz w:val="14"/>
              </w:rPr>
              <w:t>Under Equity Incentive</w:t>
            </w:r>
          </w:p>
          <w:p>
            <w:pPr>
              <w:pStyle w:val="TableContents"/>
              <w:spacing w:before="0" w:after="20"/>
              <w:jc w:val="center"/>
              <w:rPr>
                <w:rFonts w:ascii="arial" w:hAnsi="arial"/>
                <w:b/>
                <w:color w:val="D8D8D8"/>
                <w:sz w:val="14"/>
              </w:rPr>
            </w:pPr>
            <w:r>
              <w:rPr>
                <w:rFonts w:ascii="arial" w:hAnsi="arial"/>
                <w:b/>
                <w:color w:val="D8D8D8"/>
                <w:sz w:val="14"/>
              </w:rPr>
              <w:t>Plan Awards (2)</w:t>
            </w:r>
          </w:p>
        </w:tc>
        <w:tc>
          <w:tcPr>
            <w:tcW w:w="60"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1085" w:type="dxa"/>
            <w:gridSpan w:val="2"/>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1145" w:type="dxa"/>
            <w:gridSpan w:val="2"/>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r>
      <w:tr>
        <w:trPr/>
        <w:tc>
          <w:tcPr>
            <w:tcW w:w="1535" w:type="dxa"/>
            <w:tcBorders/>
            <w:shd w:fill="00548B" w:val="clear"/>
            <w:vAlign w:val="bottom"/>
          </w:tcPr>
          <w:p>
            <w:pPr>
              <w:pStyle w:val="TableContents"/>
              <w:spacing w:before="0" w:after="283"/>
              <w:rPr>
                <w:b/>
                <w:color w:val="D8D8D8"/>
              </w:rPr>
            </w:pPr>
            <w:r>
              <w:rPr>
                <w:b/>
                <w:color w:val="D8D8D8"/>
              </w:rPr>
              <w:t>Name</w:t>
            </w:r>
          </w:p>
        </w:tc>
        <w:tc>
          <w:tcPr>
            <w:tcW w:w="60" w:type="dxa"/>
            <w:tcBorders/>
            <w:shd w:fill="00548B" w:val="clear"/>
            <w:vAlign w:val="bottom"/>
          </w:tcPr>
          <w:p>
            <w:pPr>
              <w:pStyle w:val="TableContents"/>
              <w:spacing w:before="0" w:after="283"/>
              <w:rPr/>
            </w:pPr>
            <w:r>
              <w:rPr/>
              <w:t> </w:t>
            </w:r>
          </w:p>
        </w:tc>
        <w:tc>
          <w:tcPr>
            <w:tcW w:w="620" w:type="dxa"/>
            <w:gridSpan w:val="2"/>
            <w:tcBorders/>
            <w:shd w:fill="00548B" w:val="clear"/>
            <w:vAlign w:val="bottom"/>
          </w:tcPr>
          <w:p>
            <w:pPr>
              <w:pStyle w:val="TableContents"/>
              <w:spacing w:before="0" w:after="0"/>
              <w:jc w:val="center"/>
              <w:rPr>
                <w:rFonts w:ascii="arial" w:hAnsi="arial"/>
                <w:b/>
                <w:color w:val="D8D8D8"/>
                <w:sz w:val="14"/>
              </w:rPr>
            </w:pPr>
            <w:r>
              <w:rPr>
                <w:rFonts w:ascii="arial" w:hAnsi="arial"/>
                <w:b/>
                <w:color w:val="D8D8D8"/>
                <w:sz w:val="14"/>
              </w:rPr>
              <w:t>Grant</w:t>
            </w:r>
          </w:p>
          <w:p>
            <w:pPr>
              <w:pStyle w:val="TableContents"/>
              <w:spacing w:before="0" w:after="20"/>
              <w:jc w:val="center"/>
              <w:rPr>
                <w:rFonts w:ascii="arial" w:hAnsi="arial"/>
                <w:b/>
                <w:color w:val="D8D8D8"/>
                <w:sz w:val="14"/>
              </w:rPr>
            </w:pPr>
            <w:r>
              <w:rPr>
                <w:rFonts w:ascii="arial" w:hAnsi="arial"/>
                <w:b/>
                <w:color w:val="D8D8D8"/>
                <w:sz w:val="14"/>
              </w:rPr>
              <w:t>Date</w:t>
            </w:r>
          </w:p>
        </w:tc>
        <w:tc>
          <w:tcPr>
            <w:tcW w:w="60"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920" w:type="dxa"/>
            <w:gridSpan w:val="2"/>
            <w:tcBorders/>
            <w:shd w:fill="00548B" w:val="clear"/>
            <w:vAlign w:val="bottom"/>
          </w:tcPr>
          <w:p>
            <w:pPr>
              <w:pStyle w:val="TableContents"/>
              <w:spacing w:before="0" w:after="0"/>
              <w:jc w:val="center"/>
              <w:rPr>
                <w:rFonts w:ascii="arial" w:hAnsi="arial"/>
                <w:b/>
                <w:color w:val="D8D8D8"/>
                <w:sz w:val="14"/>
              </w:rPr>
            </w:pPr>
            <w:r>
              <w:rPr>
                <w:rFonts w:ascii="arial" w:hAnsi="arial"/>
                <w:b/>
                <w:color w:val="D8D8D8"/>
                <w:sz w:val="14"/>
              </w:rPr>
              <w:t>Date of</w:t>
            </w:r>
          </w:p>
          <w:p>
            <w:pPr>
              <w:pStyle w:val="TableContents"/>
              <w:spacing w:before="0" w:after="0"/>
              <w:jc w:val="center"/>
              <w:rPr>
                <w:rFonts w:ascii="arial" w:hAnsi="arial"/>
                <w:b/>
                <w:color w:val="D8D8D8"/>
                <w:sz w:val="14"/>
              </w:rPr>
            </w:pPr>
            <w:r>
              <w:rPr>
                <w:rFonts w:ascii="arial" w:hAnsi="arial"/>
                <w:b/>
                <w:color w:val="D8D8D8"/>
                <w:sz w:val="14"/>
              </w:rPr>
              <w:t>Compensation</w:t>
            </w:r>
          </w:p>
          <w:p>
            <w:pPr>
              <w:pStyle w:val="TableContents"/>
              <w:spacing w:before="0" w:after="0"/>
              <w:jc w:val="center"/>
              <w:rPr>
                <w:rFonts w:ascii="arial" w:hAnsi="arial"/>
                <w:b/>
                <w:color w:val="D8D8D8"/>
                <w:sz w:val="14"/>
              </w:rPr>
            </w:pPr>
            <w:r>
              <w:rPr>
                <w:rFonts w:ascii="arial" w:hAnsi="arial"/>
                <w:b/>
                <w:color w:val="D8D8D8"/>
                <w:sz w:val="14"/>
              </w:rPr>
              <w:t>Committee</w:t>
            </w:r>
          </w:p>
          <w:p>
            <w:pPr>
              <w:pStyle w:val="TableContents"/>
              <w:spacing w:before="0" w:after="20"/>
              <w:jc w:val="center"/>
              <w:rPr>
                <w:rFonts w:ascii="arial" w:hAnsi="arial"/>
                <w:b/>
                <w:color w:val="D8D8D8"/>
                <w:sz w:val="14"/>
              </w:rPr>
            </w:pPr>
            <w:r>
              <w:rPr>
                <w:rFonts w:ascii="arial" w:hAnsi="arial"/>
                <w:b/>
                <w:color w:val="D8D8D8"/>
                <w:sz w:val="14"/>
              </w:rPr>
              <w:t>Action</w:t>
            </w:r>
          </w:p>
        </w:tc>
        <w:tc>
          <w:tcPr>
            <w:tcW w:w="60" w:type="dxa"/>
            <w:tcBorders/>
            <w:shd w:fill="00548B" w:val="cle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950"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D8D8D8"/>
                <w:sz w:val="14"/>
              </w:rPr>
            </w:pPr>
            <w:r>
              <w:rPr>
                <w:rFonts w:ascii="arial" w:hAnsi="arial"/>
                <w:b/>
                <w:color w:val="D8D8D8"/>
                <w:sz w:val="14"/>
              </w:rPr>
              <w:t>Threshold</w:t>
            </w:r>
          </w:p>
          <w:p>
            <w:pPr>
              <w:pStyle w:val="TableContents"/>
              <w:spacing w:before="0" w:after="20"/>
              <w:jc w:val="center"/>
              <w:rPr>
                <w:rFonts w:ascii="arial" w:hAnsi="arial"/>
                <w:b/>
                <w:color w:val="D8D8D8"/>
                <w:sz w:val="14"/>
              </w:rPr>
            </w:pPr>
            <w:r>
              <w:rPr>
                <w:rFonts w:ascii="arial" w:hAnsi="arial"/>
                <w:b/>
                <w:color w:val="D8D8D8"/>
                <w:sz w:val="14"/>
              </w:rPr>
              <w:t>($)</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1145"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D8D8D8"/>
                <w:sz w:val="14"/>
              </w:rPr>
            </w:pPr>
            <w:r>
              <w:rPr>
                <w:rFonts w:ascii="arial" w:hAnsi="arial"/>
                <w:b/>
                <w:color w:val="D8D8D8"/>
                <w:sz w:val="14"/>
              </w:rPr>
              <w:t>Target</w:t>
            </w:r>
          </w:p>
          <w:p>
            <w:pPr>
              <w:pStyle w:val="TableContents"/>
              <w:spacing w:before="0" w:after="20"/>
              <w:jc w:val="center"/>
              <w:rPr>
                <w:rFonts w:ascii="arial" w:hAnsi="arial"/>
                <w:b/>
                <w:color w:val="D8D8D8"/>
                <w:sz w:val="14"/>
              </w:rPr>
            </w:pPr>
            <w:r>
              <w:rPr>
                <w:rFonts w:ascii="arial" w:hAnsi="arial"/>
                <w:b/>
                <w:color w:val="D8D8D8"/>
                <w:sz w:val="14"/>
              </w:rPr>
              <w:t>($)</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1145"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D8D8D8"/>
                <w:sz w:val="14"/>
              </w:rPr>
            </w:pPr>
            <w:r>
              <w:rPr>
                <w:rFonts w:ascii="arial" w:hAnsi="arial"/>
                <w:b/>
                <w:color w:val="D8D8D8"/>
                <w:sz w:val="14"/>
              </w:rPr>
              <w:t>Maximum</w:t>
            </w:r>
          </w:p>
          <w:p>
            <w:pPr>
              <w:pStyle w:val="TableContents"/>
              <w:spacing w:before="0" w:after="20"/>
              <w:jc w:val="center"/>
              <w:rPr>
                <w:rFonts w:ascii="arial" w:hAnsi="arial"/>
                <w:b/>
                <w:color w:val="D8D8D8"/>
                <w:sz w:val="14"/>
              </w:rPr>
            </w:pPr>
            <w:r>
              <w:rPr>
                <w:rFonts w:ascii="arial" w:hAnsi="arial"/>
                <w:b/>
                <w:color w:val="D8D8D8"/>
                <w:sz w:val="14"/>
              </w:rPr>
              <w:t>($)</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120" w:type="dxa"/>
            <w:gridSpan w:val="2"/>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80"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D8D8D8"/>
                <w:sz w:val="14"/>
              </w:rPr>
            </w:pPr>
            <w:r>
              <w:rPr>
                <w:rFonts w:ascii="arial" w:hAnsi="arial"/>
                <w:b/>
                <w:color w:val="D8D8D8"/>
                <w:sz w:val="14"/>
              </w:rPr>
              <w:t>Threshold</w:t>
            </w:r>
          </w:p>
          <w:p>
            <w:pPr>
              <w:pStyle w:val="TableContents"/>
              <w:spacing w:before="0" w:after="20"/>
              <w:jc w:val="center"/>
              <w:rPr>
                <w:rFonts w:ascii="arial" w:hAnsi="arial"/>
                <w:b/>
                <w:color w:val="D8D8D8"/>
                <w:sz w:val="14"/>
              </w:rPr>
            </w:pPr>
            <w:r>
              <w:rPr>
                <w:rFonts w:ascii="arial" w:hAnsi="arial"/>
                <w:b/>
                <w:color w:val="D8D8D8"/>
                <w:sz w:val="14"/>
              </w:rPr>
              <w:t>(#)</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815"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D8D8D8"/>
                <w:sz w:val="14"/>
              </w:rPr>
            </w:pPr>
            <w:r>
              <w:rPr>
                <w:rFonts w:ascii="arial" w:hAnsi="arial"/>
                <w:b/>
                <w:color w:val="D8D8D8"/>
                <w:sz w:val="14"/>
              </w:rPr>
              <w:t>Target</w:t>
            </w:r>
          </w:p>
          <w:p>
            <w:pPr>
              <w:pStyle w:val="TableContents"/>
              <w:spacing w:before="0" w:after="20"/>
              <w:jc w:val="center"/>
              <w:rPr>
                <w:rFonts w:ascii="arial" w:hAnsi="arial"/>
                <w:b/>
                <w:color w:val="D8D8D8"/>
                <w:sz w:val="14"/>
              </w:rPr>
            </w:pPr>
            <w:r>
              <w:rPr>
                <w:rFonts w:ascii="arial" w:hAnsi="arial"/>
                <w:b/>
                <w:color w:val="D8D8D8"/>
                <w:sz w:val="14"/>
              </w:rPr>
              <w:t>(#)</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815"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D8D8D8"/>
                <w:sz w:val="14"/>
              </w:rPr>
            </w:pPr>
            <w:r>
              <w:rPr>
                <w:rFonts w:ascii="arial" w:hAnsi="arial"/>
                <w:b/>
                <w:color w:val="D8D8D8"/>
                <w:sz w:val="14"/>
              </w:rPr>
              <w:t>Maximum</w:t>
            </w:r>
          </w:p>
          <w:p>
            <w:pPr>
              <w:pStyle w:val="TableContents"/>
              <w:spacing w:before="0" w:after="20"/>
              <w:jc w:val="center"/>
              <w:rPr>
                <w:rFonts w:ascii="arial" w:hAnsi="arial"/>
                <w:b/>
                <w:color w:val="D8D8D8"/>
                <w:sz w:val="14"/>
              </w:rPr>
            </w:pPr>
            <w:r>
              <w:rPr>
                <w:rFonts w:ascii="arial" w:hAnsi="arial"/>
                <w:b/>
                <w:color w:val="D8D8D8"/>
                <w:sz w:val="14"/>
              </w:rPr>
              <w:t>(#)</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1085" w:type="dxa"/>
            <w:gridSpan w:val="2"/>
            <w:tcBorders/>
            <w:shd w:fill="00548B" w:val="clear"/>
            <w:vAlign w:val="bottom"/>
          </w:tcPr>
          <w:p>
            <w:pPr>
              <w:pStyle w:val="TableContents"/>
              <w:spacing w:before="0" w:after="0"/>
              <w:jc w:val="center"/>
              <w:rPr>
                <w:rFonts w:ascii="arial" w:hAnsi="arial"/>
                <w:b/>
                <w:color w:val="D8D8D8"/>
                <w:sz w:val="14"/>
              </w:rPr>
            </w:pPr>
            <w:r>
              <w:rPr>
                <w:rFonts w:ascii="arial" w:hAnsi="arial"/>
                <w:b/>
                <w:color w:val="D8D8D8"/>
                <w:sz w:val="14"/>
              </w:rPr>
              <w:t>All Other</w:t>
            </w:r>
          </w:p>
          <w:p>
            <w:pPr>
              <w:pStyle w:val="TableContents"/>
              <w:spacing w:before="0" w:after="0"/>
              <w:jc w:val="center"/>
              <w:rPr>
                <w:rFonts w:ascii="arial" w:hAnsi="arial"/>
                <w:b/>
                <w:color w:val="D8D8D8"/>
                <w:sz w:val="14"/>
              </w:rPr>
            </w:pPr>
            <w:r>
              <w:rPr>
                <w:rFonts w:ascii="arial" w:hAnsi="arial"/>
                <w:b/>
                <w:color w:val="D8D8D8"/>
                <w:sz w:val="14"/>
              </w:rPr>
              <w:t>Stock</w:t>
              <w:br/>
              <w:t>Awards:</w:t>
              <w:br/>
              <w:t>Number of</w:t>
              <w:br/>
              <w:t>Shares of</w:t>
              <w:br/>
              <w:t>Stock</w:t>
            </w:r>
          </w:p>
          <w:p>
            <w:pPr>
              <w:pStyle w:val="TableContents"/>
              <w:spacing w:before="0" w:after="20"/>
              <w:jc w:val="center"/>
              <w:rPr>
                <w:rFonts w:ascii="arial" w:hAnsi="arial"/>
                <w:b/>
                <w:color w:val="D8D8D8"/>
                <w:sz w:val="14"/>
              </w:rPr>
            </w:pPr>
            <w:r>
              <w:rPr>
                <w:rFonts w:ascii="arial" w:hAnsi="arial"/>
                <w:b/>
                <w:color w:val="D8D8D8"/>
                <w:sz w:val="14"/>
              </w:rPr>
              <w:t>(#)(3)</w:t>
            </w:r>
          </w:p>
        </w:tc>
        <w:tc>
          <w:tcPr>
            <w:tcW w:w="60"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1145" w:type="dxa"/>
            <w:gridSpan w:val="2"/>
            <w:tcBorders/>
            <w:shd w:fill="00548B" w:val="clear"/>
            <w:vAlign w:val="bottom"/>
          </w:tcPr>
          <w:p>
            <w:pPr>
              <w:pStyle w:val="TableContents"/>
              <w:spacing w:before="0" w:after="283"/>
              <w:jc w:val="center"/>
              <w:rPr>
                <w:b/>
                <w:color w:val="D8D8D8"/>
              </w:rPr>
            </w:pPr>
            <w:r>
              <w:rPr>
                <w:b/>
                <w:color w:val="D8D8D8"/>
              </w:rPr>
              <w:t>Full Grant</w:t>
              <w:br/>
              <w:t>Date Fair</w:t>
              <w:br/>
              <w:t>Value of</w:t>
              <w:br/>
              <w:t>Each</w:t>
              <w:br/>
              <w:t>Award</w:t>
              <w:br/>
              <w:t>($)(4)</w:t>
            </w:r>
          </w:p>
        </w:tc>
        <w:tc>
          <w:tcPr>
            <w:tcW w:w="60" w:type="dxa"/>
            <w:tcBorders/>
            <w:shd w:fill="00548B" w:val="clear"/>
            <w:vAlign w:val="bottom"/>
          </w:tcPr>
          <w:p>
            <w:pPr>
              <w:pStyle w:val="TableContents"/>
              <w:spacing w:before="0" w:after="283"/>
              <w:rPr/>
            </w:pPr>
            <w:r>
              <w:rPr/>
              <w:t> </w:t>
            </w:r>
          </w:p>
        </w:tc>
      </w:tr>
      <w:tr>
        <w:trPr/>
        <w:tc>
          <w:tcPr>
            <w:tcW w:w="1535" w:type="dxa"/>
            <w:tcBorders/>
            <w:shd w:fill="auto" w:val="clear"/>
          </w:tcPr>
          <w:p>
            <w:pPr>
              <w:pStyle w:val="TableContents"/>
              <w:spacing w:before="0" w:after="0"/>
              <w:rPr>
                <w:rFonts w:ascii="arial" w:hAnsi="arial"/>
                <w:sz w:val="16"/>
              </w:rPr>
            </w:pPr>
            <w:r>
              <w:rPr>
                <w:rFonts w:ascii="arial" w:hAnsi="arial"/>
                <w:sz w:val="16"/>
              </w:rPr>
              <w:t>James H. Roth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ARIAL" w:hAnsi="ARIAL"/>
              </w:rPr>
            </w:pPr>
            <w:r>
              <w:rPr>
                <w:rFonts w:ascii="ARIAL" w:hAnsi="ARIAL"/>
              </w:rPr>
              <w:t>2/20/2020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6,304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rPr>
            </w:pPr>
            <w:r>
              <w:rPr>
                <w:rFonts w:ascii="ARIAL" w:hAnsi="ARIAL"/>
              </w:rPr>
              <w:t>25,215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rPr>
            </w:pPr>
            <w:r>
              <w:rPr>
                <w:rFonts w:ascii="ARIAL" w:hAnsi="ARIAL"/>
              </w:rPr>
              <w:t>50,430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1,496,258</w:t>
            </w:r>
          </w:p>
        </w:tc>
        <w:tc>
          <w:tcPr>
            <w:tcW w:w="60" w:type="dxa"/>
            <w:tcBorders/>
            <w:shd w:fill="auto" w:val="clear"/>
            <w:vAlign w:val="bottom"/>
          </w:tcPr>
          <w:p>
            <w:pPr>
              <w:pStyle w:val="TableContents"/>
              <w:spacing w:before="0" w:after="283"/>
              <w:rPr/>
            </w:pPr>
            <w:r>
              <w:rPr/>
              <w:t> </w:t>
            </w:r>
          </w:p>
        </w:tc>
      </w:tr>
      <w:tr>
        <w:trPr/>
        <w:tc>
          <w:tcPr>
            <w:tcW w:w="1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ARIAL" w:hAnsi="ARIAL"/>
              </w:rPr>
            </w:pPr>
            <w:r>
              <w:rPr>
                <w:rFonts w:ascii="ARIAL" w:hAnsi="ARIAL"/>
              </w:rPr>
              <w:t>2/20/2020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right"/>
              <w:rPr>
                <w:rFonts w:ascii="ARIAL" w:hAnsi="ARIAL"/>
              </w:rPr>
            </w:pPr>
            <w:r>
              <w:rPr>
                <w:rFonts w:ascii="ARIAL" w:hAnsi="ARIAL"/>
              </w:rPr>
              <w:t>10,806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641,228</w:t>
            </w:r>
          </w:p>
        </w:tc>
        <w:tc>
          <w:tcPr>
            <w:tcW w:w="60" w:type="dxa"/>
            <w:tcBorders/>
            <w:shd w:fill="auto" w:val="clear"/>
            <w:vAlign w:val="bottom"/>
          </w:tcPr>
          <w:p>
            <w:pPr>
              <w:pStyle w:val="TableContents"/>
              <w:spacing w:before="0" w:after="283"/>
              <w:rPr/>
            </w:pPr>
            <w:r>
              <w:rPr/>
              <w:t> </w:t>
            </w:r>
          </w:p>
        </w:tc>
      </w:tr>
      <w:tr>
        <w:trPr/>
        <w:tc>
          <w:tcPr>
            <w:tcW w:w="1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332,500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1,330,000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2,660,000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535" w:type="dxa"/>
            <w:tcBorders>
              <w:top w:val="single" w:sz="2" w:space="0" w:color="999999"/>
            </w:tcBorders>
            <w:shd w:fill="auto" w:val="clear"/>
            <w:tcMar>
              <w:top w:w="28" w:type="dxa"/>
            </w:tcMar>
          </w:tcPr>
          <w:p>
            <w:pPr>
              <w:pStyle w:val="TableContents"/>
              <w:spacing w:before="0" w:after="0"/>
              <w:rPr>
                <w:rFonts w:ascii="arial" w:hAnsi="arial"/>
                <w:sz w:val="16"/>
              </w:rPr>
            </w:pPr>
            <w:r>
              <w:rPr>
                <w:rFonts w:ascii="arial" w:hAnsi="arial"/>
                <w:sz w:val="16"/>
              </w:rPr>
              <w:t>C. Mark Hussey</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56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3/1/2020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86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2/20/2020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890"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2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4,129</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755"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16,515</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755"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33,030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2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980,000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r>
      <w:tr>
        <w:trPr/>
        <w:tc>
          <w:tcPr>
            <w:tcW w:w="1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ARIAL" w:hAnsi="ARIAL"/>
              </w:rPr>
            </w:pPr>
            <w:r>
              <w:rPr>
                <w:rFonts w:ascii="ARIAL" w:hAnsi="ARIAL"/>
              </w:rPr>
              <w:t>2/20/2020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rFonts w:ascii="ARIAL" w:hAnsi="ARIAL"/>
              </w:rPr>
            </w:pPr>
            <w:r>
              <w:rPr>
                <w:rFonts w:ascii="ARIAL" w:hAnsi="ARIAL"/>
              </w:rPr>
              <w:t>7,078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420,009</w:t>
            </w:r>
          </w:p>
        </w:tc>
        <w:tc>
          <w:tcPr>
            <w:tcW w:w="60" w:type="dxa"/>
            <w:tcBorders/>
            <w:shd w:fill="auto" w:val="clear"/>
            <w:vAlign w:val="bottom"/>
          </w:tcPr>
          <w:p>
            <w:pPr>
              <w:pStyle w:val="TableContents"/>
              <w:spacing w:before="0" w:after="283"/>
              <w:rPr/>
            </w:pPr>
            <w:r>
              <w:rPr/>
              <w:t> </w:t>
            </w:r>
          </w:p>
        </w:tc>
      </w:tr>
      <w:tr>
        <w:trPr/>
        <w:tc>
          <w:tcPr>
            <w:tcW w:w="1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200,000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800,000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1,600,000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535" w:type="dxa"/>
            <w:tcBorders>
              <w:top w:val="single" w:sz="2" w:space="0" w:color="999999"/>
            </w:tcBorders>
            <w:shd w:fill="auto" w:val="clear"/>
            <w:tcMar>
              <w:top w:w="28" w:type="dxa"/>
            </w:tcMar>
          </w:tcPr>
          <w:p>
            <w:pPr>
              <w:pStyle w:val="TableContents"/>
              <w:spacing w:before="0" w:after="0"/>
              <w:rPr>
                <w:rFonts w:ascii="arial" w:hAnsi="arial"/>
                <w:sz w:val="16"/>
              </w:rPr>
            </w:pPr>
            <w:r>
              <w:rPr>
                <w:rFonts w:ascii="arial" w:hAnsi="arial"/>
                <w:sz w:val="16"/>
              </w:rPr>
              <w:t>John D. Kelly</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56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3/1/2020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86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2/20/2020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890"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20"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2,323</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75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9,290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75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18,580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2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551,269</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r>
      <w:tr>
        <w:trPr/>
        <w:tc>
          <w:tcPr>
            <w:tcW w:w="1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ARIAL" w:hAnsi="ARIAL"/>
              </w:rPr>
            </w:pPr>
            <w:r>
              <w:rPr>
                <w:rFonts w:ascii="ARIAL" w:hAnsi="ARIAL"/>
              </w:rPr>
              <w:t>2/20/2020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rFonts w:ascii="ARIAL" w:hAnsi="ARIAL"/>
              </w:rPr>
            </w:pPr>
            <w:r>
              <w:rPr>
                <w:rFonts w:ascii="ARIAL" w:hAnsi="ARIAL"/>
              </w:rPr>
              <w:t>3,981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236,233</w:t>
            </w:r>
          </w:p>
        </w:tc>
        <w:tc>
          <w:tcPr>
            <w:tcW w:w="60" w:type="dxa"/>
            <w:tcBorders/>
            <w:shd w:fill="auto" w:val="clear"/>
            <w:vAlign w:val="bottom"/>
          </w:tcPr>
          <w:p>
            <w:pPr>
              <w:pStyle w:val="TableContents"/>
              <w:spacing w:before="0" w:after="283"/>
              <w:rPr/>
            </w:pPr>
            <w:r>
              <w:rPr/>
              <w:t> </w:t>
            </w:r>
          </w:p>
        </w:tc>
      </w:tr>
      <w:tr>
        <w:trPr/>
        <w:tc>
          <w:tcPr>
            <w:tcW w:w="1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rFonts w:ascii="ARIAL" w:hAnsi="ARIAL"/>
              </w:rPr>
            </w:pPr>
            <w:r>
              <w:rPr>
                <w:rFonts w:ascii="ARIAL" w:hAnsi="ARIAL"/>
              </w:rPr>
              <w:t>12,639 (5)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749,998</w:t>
            </w:r>
          </w:p>
        </w:tc>
        <w:tc>
          <w:tcPr>
            <w:tcW w:w="60" w:type="dxa"/>
            <w:tcBorders/>
            <w:shd w:fill="auto" w:val="clear"/>
            <w:vAlign w:val="bottom"/>
          </w:tcPr>
          <w:p>
            <w:pPr>
              <w:pStyle w:val="TableContents"/>
              <w:spacing w:before="0" w:after="283"/>
              <w:rPr/>
            </w:pPr>
            <w:r>
              <w:rPr/>
              <w:t> </w:t>
            </w:r>
          </w:p>
        </w:tc>
      </w:tr>
      <w:tr>
        <w:trPr/>
        <w:tc>
          <w:tcPr>
            <w:tcW w:w="1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5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118,125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472,500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945,000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535" w:type="dxa"/>
            <w:tcBorders>
              <w:top w:val="single" w:sz="2" w:space="0" w:color="999999"/>
            </w:tcBorders>
            <w:shd w:fill="auto" w:val="clear"/>
            <w:tcMar>
              <w:top w:w="28" w:type="dxa"/>
            </w:tcMar>
          </w:tcPr>
          <w:p>
            <w:pPr>
              <w:pStyle w:val="TableContents"/>
              <w:spacing w:before="0" w:after="0"/>
              <w:rPr>
                <w:rFonts w:ascii="arial" w:hAnsi="arial"/>
                <w:sz w:val="16"/>
              </w:rPr>
            </w:pPr>
            <w:r>
              <w:rPr>
                <w:rFonts w:ascii="arial" w:hAnsi="arial"/>
                <w:sz w:val="16"/>
              </w:rPr>
              <w:t>Ernest W. Torain, Jr.</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56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4/1/2020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86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3/23/2020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890"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20"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1,305</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75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5,220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75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10,440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25"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226,809</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r>
      <w:tr>
        <w:trPr/>
        <w:tc>
          <w:tcPr>
            <w:tcW w:w="1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4/1/2020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ARIAL" w:hAnsi="ARIAL"/>
              </w:rPr>
            </w:pPr>
            <w:r>
              <w:rPr>
                <w:rFonts w:ascii="ARIAL" w:hAnsi="ARIAL"/>
              </w:rPr>
              <w:t>3/23/2020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rFonts w:ascii="ARIAL" w:hAnsi="ARIAL"/>
              </w:rPr>
            </w:pPr>
            <w:r>
              <w:rPr>
                <w:rFonts w:ascii="ARIAL" w:hAnsi="ARIAL"/>
              </w:rPr>
              <w:t>2,237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97,198</w:t>
            </w:r>
          </w:p>
        </w:tc>
        <w:tc>
          <w:tcPr>
            <w:tcW w:w="60" w:type="dxa"/>
            <w:tcBorders/>
            <w:shd w:fill="auto" w:val="clear"/>
            <w:vAlign w:val="bottom"/>
          </w:tcPr>
          <w:p>
            <w:pPr>
              <w:pStyle w:val="TableContents"/>
              <w:spacing w:before="0" w:after="283"/>
              <w:rPr/>
            </w:pPr>
            <w:r>
              <w:rPr/>
              <w:t> </w:t>
            </w:r>
          </w:p>
        </w:tc>
      </w:tr>
      <w:tr>
        <w:trPr/>
        <w:tc>
          <w:tcPr>
            <w:tcW w:w="1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4/1/2020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60" w:type="dxa"/>
            <w:tcBorders/>
            <w:shd w:fill="auto" w:val="clear"/>
            <w:vAlign w:val="bottom"/>
          </w:tcPr>
          <w:p>
            <w:pPr>
              <w:pStyle w:val="TableContents"/>
              <w:spacing w:before="0" w:after="283"/>
              <w:jc w:val="right"/>
              <w:rPr>
                <w:rFonts w:ascii="ARIAL" w:hAnsi="ARIAL"/>
              </w:rPr>
            </w:pPr>
            <w:r>
              <w:rPr>
                <w:rFonts w:ascii="ARIAL" w:hAnsi="ARIAL"/>
              </w:rPr>
              <w:t>3/23/2020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rFonts w:ascii="ARIAL" w:hAnsi="ARIAL"/>
              </w:rPr>
            </w:pPr>
            <w:r>
              <w:rPr>
                <w:rFonts w:ascii="ARIAL" w:hAnsi="ARIAL"/>
              </w:rPr>
              <w:t>2,301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99,978</w:t>
            </w:r>
          </w:p>
        </w:tc>
        <w:tc>
          <w:tcPr>
            <w:tcW w:w="60" w:type="dxa"/>
            <w:tcBorders/>
            <w:shd w:fill="auto" w:val="clear"/>
            <w:vAlign w:val="bottom"/>
          </w:tcPr>
          <w:p>
            <w:pPr>
              <w:pStyle w:val="TableContents"/>
              <w:spacing w:before="0" w:after="283"/>
              <w:rPr/>
            </w:pPr>
            <w:r>
              <w:rPr/>
              <w:t> </w:t>
            </w:r>
          </w:p>
        </w:tc>
      </w:tr>
      <w:tr>
        <w:trPr/>
        <w:tc>
          <w:tcPr>
            <w:tcW w:w="15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4/1/2020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8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45,000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180,000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85" w:type="dxa"/>
            <w:tcBorders/>
            <w:shd w:fill="auto" w:val="clear"/>
            <w:vAlign w:val="bottom"/>
          </w:tcPr>
          <w:p>
            <w:pPr>
              <w:pStyle w:val="TableContents"/>
              <w:spacing w:before="0" w:after="283"/>
              <w:jc w:val="right"/>
              <w:rPr>
                <w:rFonts w:ascii="ARIAL" w:hAnsi="ARIAL"/>
              </w:rPr>
            </w:pPr>
            <w:r>
              <w:rPr>
                <w:rFonts w:ascii="ARIAL" w:hAnsi="ARIAL"/>
              </w:rPr>
              <w:t>360,000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02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108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535" w:type="dxa"/>
            <w:tcBorders>
              <w:top w:val="single" w:sz="2" w:space="0" w:color="999999"/>
            </w:tcBorders>
            <w:shd w:fill="auto" w:val="clear"/>
            <w:tcMar>
              <w:top w:w="28" w:type="dxa"/>
            </w:tcMar>
          </w:tcPr>
          <w:p>
            <w:pPr>
              <w:pStyle w:val="TableContents"/>
              <w:spacing w:before="0" w:after="0"/>
              <w:rPr>
                <w:rFonts w:ascii="arial" w:hAnsi="arial"/>
                <w:sz w:val="16"/>
              </w:rPr>
            </w:pPr>
            <w:r>
              <w:rPr>
                <w:rFonts w:ascii="arial" w:hAnsi="arial"/>
                <w:sz w:val="16"/>
              </w:rPr>
              <w:t>Diane E. Ratekin</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56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3/1/2020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860"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2/20/2020</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890"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20"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75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75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25" w:type="dxa"/>
            <w:tcBorders>
              <w:top w:val="single" w:sz="2" w:space="0" w:color="999999"/>
            </w:tcBorders>
            <w:shd w:fill="auto" w:val="clear"/>
            <w:tcMar>
              <w:top w:w="28" w:type="dxa"/>
            </w:tcMar>
            <w:vAlign w:val="bottom"/>
          </w:tcPr>
          <w:p>
            <w:pPr>
              <w:pStyle w:val="TableContents"/>
              <w:spacing w:before="0" w:after="283"/>
              <w:jc w:val="center"/>
              <w:rPr>
                <w:rFonts w:ascii="ARIAL" w:hAnsi="ARIAL"/>
              </w:rPr>
            </w:pPr>
            <w:r>
              <w:rPr>
                <w:rFonts w:ascii="ARIAL" w:hAnsi="ARIAL"/>
              </w:rPr>
              <w:t>2,326</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c>
          <w:tcPr>
            <w:tcW w:w="1085" w:type="dxa"/>
            <w:tcBorders>
              <w:top w:val="single" w:sz="2" w:space="0" w:color="999999"/>
            </w:tcBorders>
            <w:shd w:fill="auto" w:val="clear"/>
            <w:tcMar>
              <w:top w:w="28" w:type="dxa"/>
            </w:tcMar>
            <w:vAlign w:val="bottom"/>
          </w:tcPr>
          <w:p>
            <w:pPr>
              <w:pStyle w:val="TableContents"/>
              <w:spacing w:before="0" w:after="283"/>
              <w:jc w:val="right"/>
              <w:rPr>
                <w:rFonts w:ascii="ARIAL" w:hAnsi="ARIAL"/>
              </w:rPr>
            </w:pPr>
            <w:r>
              <w:rPr>
                <w:rFonts w:ascii="ARIAL" w:hAnsi="ARIAL"/>
              </w:rPr>
              <w:t>138,025</w:t>
            </w:r>
          </w:p>
        </w:tc>
        <w:tc>
          <w:tcPr>
            <w:tcW w:w="60" w:type="dxa"/>
            <w:tcBorders>
              <w:top w:val="single" w:sz="2" w:space="0" w:color="999999"/>
            </w:tcBorders>
            <w:shd w:fill="auto" w:val="clear"/>
            <w:tcMar>
              <w:top w:w="28" w:type="dxa"/>
            </w:tcMar>
            <w:vAlign w:val="bottom"/>
          </w:tcPr>
          <w:p>
            <w:pPr>
              <w:pStyle w:val="TableContents"/>
              <w:spacing w:before="0" w:after="283"/>
              <w:rPr/>
            </w:pPr>
            <w:r>
              <w:rPr/>
              <w:t> </w:t>
            </w:r>
          </w:p>
        </w:tc>
      </w:tr>
      <w:tr>
        <w:trPr/>
        <w:tc>
          <w:tcPr>
            <w:tcW w:w="1535" w:type="dxa"/>
            <w:tcBorders>
              <w:bottom w:val="single" w:sz="2" w:space="0" w:color="00548B"/>
            </w:tcBorders>
            <w:shd w:fill="auto" w:val="clear"/>
            <w:tcMar>
              <w:bottom w:w="28" w:type="dxa"/>
            </w:tcMar>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5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8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890"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50,000</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108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200,000</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108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400,000</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20"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755"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755"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1025"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1085"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For the cash award, the target, threshold and maximum represent the range of cash award that could be earned. There is no payout if a threshold level of performance is not achieved. The minimum amount that could be paid is 25% of target and maximum represents 200% of target. Based on the achievement of specific financial goals, the Compensation Committee determined that 65% of the target award was earned for 2020.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The 2020 grant of Performance Stock Units (PSUs) is based on performance (Adjusted Diluted EPS and Revenue Growth) over a three-year period from 2020-2022. The PSUs are earned from 25% of target for threshold performance to 200% of target for maximum performance; however, if threshold performance is not achieved, the award will be forfeited. The PSUs that are earned will vest on March 1, 2023.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(3)</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Restricted stock granted under the Companys 2012 Omnibus Incentive Plan.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(4)</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The full grant date fair value of the March 1, 2020 and April 1, 2020 restricted stock and PSU grants are based on the closing price of Huron stock of $59.34 on February 28, 2020 and $43.45 on April 1, 2020. The total number of PSUs earned by recipients of these awards is contingent on meeting Adjusted Diluted EPS and Revenue Growth goals as described in Note (2) above. </w:t>
            </w:r>
          </w:p>
        </w:tc>
      </w:tr>
    </w:tbl>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(5)</w:t>
            </w:r>
          </w:p>
        </w:tc>
        <w:tc>
          <w:tcPr>
            <w:tcW w:w="9695" w:type="dxa"/>
            <w:tcBorders/>
            <w:shd w:fill="auto" w:val="clear"/>
          </w:tcPr>
          <w:p>
            <w:pPr>
              <w:pStyle w:val="TableContents"/>
              <w:spacing w:before="0" w:after="0"/>
              <w:jc w:val="both"/>
              <w:rPr>
                <w:rFonts w:ascii="arial" w:hAnsi="arial"/>
                <w:sz w:val="18"/>
              </w:rPr>
            </w:pPr>
            <w:r>
              <w:rPr>
                <w:rFonts w:ascii="arial" w:hAnsi="arial"/>
                <w:sz w:val="18"/>
              </w:rPr>
              <w:t xml:space="preserve">Restricted stock that will vest 100% four years from the date of grant provided Mr. Kelly is still employed by Huron on the applicable vesting date.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As part of her retirement agreement with the Company, Ms. Ratekins Non-Equity Incentive Plan Award for 2020 will be paid at target.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39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0"/>
        </w:rPr>
      </w:pPr>
      <w:bookmarkStart w:id="28" w:name="toc170561_26"/>
      <w:bookmarkEnd w:id="28"/>
      <w:r>
        <w:rPr>
          <w:rFonts w:ascii="arial" w:hAnsi="arial"/>
          <w:b/>
          <w:color w:val="00548B"/>
          <w:sz w:val="20"/>
        </w:rPr>
        <w:t>2020 O</w:t>
      </w:r>
      <w:r>
        <w:rPr>
          <w:rFonts w:ascii="arial" w:hAnsi="arial"/>
          <w:b/>
          <w:color w:val="00548B"/>
          <w:sz w:val="14"/>
        </w:rPr>
        <w:t>UTSTANDING</w:t>
      </w:r>
      <w:r>
        <w:rPr>
          <w:rFonts w:ascii="arial" w:hAnsi="arial"/>
          <w:b/>
          <w:color w:val="00548B"/>
          <w:sz w:val="20"/>
        </w:rPr>
        <w:t xml:space="preserve"> E</w:t>
      </w:r>
      <w:r>
        <w:rPr>
          <w:rFonts w:ascii="arial" w:hAnsi="arial"/>
          <w:b/>
          <w:color w:val="00548B"/>
          <w:sz w:val="14"/>
        </w:rPr>
        <w:t>QUITY</w:t>
      </w:r>
      <w:r>
        <w:rPr>
          <w:rFonts w:ascii="arial" w:hAnsi="arial"/>
          <w:b/>
          <w:color w:val="00548B"/>
          <w:sz w:val="20"/>
        </w:rPr>
        <w:t xml:space="preserve"> A</w:t>
      </w:r>
      <w:r>
        <w:rPr>
          <w:rFonts w:ascii="arial" w:hAnsi="arial"/>
          <w:b/>
          <w:color w:val="00548B"/>
          <w:sz w:val="14"/>
        </w:rPr>
        <w:t>WARDS</w:t>
      </w:r>
      <w:r>
        <w:rPr>
          <w:rFonts w:ascii="arial" w:hAnsi="arial"/>
          <w:b/>
          <w:color w:val="00548B"/>
          <w:sz w:val="20"/>
        </w:rPr>
        <w:t xml:space="preserve"> </w:t>
      </w:r>
      <w:r>
        <w:rPr>
          <w:rFonts w:ascii="arial" w:hAnsi="arial"/>
          <w:b/>
          <w:color w:val="00548B"/>
          <w:sz w:val="14"/>
        </w:rPr>
        <w:t>AT</w:t>
      </w:r>
      <w:r>
        <w:rPr>
          <w:rFonts w:ascii="arial" w:hAnsi="arial"/>
          <w:b/>
          <w:color w:val="00548B"/>
          <w:sz w:val="20"/>
        </w:rPr>
        <w:t xml:space="preserve"> F</w:t>
      </w:r>
      <w:r>
        <w:rPr>
          <w:rFonts w:ascii="arial" w:hAnsi="arial"/>
          <w:b/>
          <w:color w:val="00548B"/>
          <w:sz w:val="14"/>
        </w:rPr>
        <w:t>ISCAL</w:t>
      </w:r>
      <w:r>
        <w:rPr>
          <w:rFonts w:ascii="arial" w:hAnsi="arial"/>
          <w:b/>
          <w:color w:val="00548B"/>
          <w:sz w:val="20"/>
        </w:rPr>
        <w:t xml:space="preserve"> Y</w:t>
      </w:r>
      <w:r>
        <w:rPr>
          <w:rFonts w:ascii="arial" w:hAnsi="arial"/>
          <w:b/>
          <w:color w:val="00548B"/>
          <w:sz w:val="14"/>
        </w:rPr>
        <w:t>EAR</w:t>
      </w:r>
      <w:r>
        <w:rPr>
          <w:rFonts w:ascii="arial" w:hAnsi="arial"/>
          <w:b/>
          <w:color w:val="00548B"/>
          <w:sz w:val="20"/>
        </w:rPr>
        <w:t>-</w:t>
      </w:r>
      <w:r>
        <w:rPr>
          <w:rFonts w:ascii="arial" w:hAnsi="arial"/>
          <w:b/>
          <w:color w:val="00548B"/>
          <w:sz w:val="14"/>
        </w:rPr>
        <w:t>END</w:t>
      </w:r>
      <w:r>
        <w:rPr>
          <w:rFonts w:ascii="arial" w:hAnsi="arial"/>
          <w:b/>
          <w:color w:val="00548B"/>
          <w:sz w:val="20"/>
        </w:rPr>
        <w:t xml:space="preserve"> </w:t>
      </w:r>
    </w:p>
    <w:p>
      <w:pPr>
        <w:pStyle w:val="TextBody"/>
        <w:spacing w:before="120" w:after="0"/>
        <w:jc w:val="both"/>
        <w:rPr>
          <w:rFonts w:ascii="arial" w:hAnsi="arial"/>
          <w:sz w:val="18"/>
        </w:rPr>
      </w:pPr>
      <w:r>
        <w:rPr>
          <w:rFonts w:ascii="arial" w:hAnsi="arial"/>
          <w:sz w:val="18"/>
        </w:rPr>
        <w:t xml:space="preserve">The following table sets forth certain information concerning outstanding stock and option awards as of December 31, 2020 for each named executive officer. Market value is based on the closing price of Huron stock of $58.95 on December 31, 2020, the last trading day of the fiscal year. </w:t>
      </w:r>
    </w:p>
    <w:p>
      <w:pPr>
        <w:pStyle w:val="TextBody"/>
        <w:spacing w:before="0" w:after="0"/>
        <w:jc w:val="left"/>
        <w:rPr/>
      </w:pPr>
      <w:r>
        <w:rPr/>
        <w:t> </w:t>
      </w:r>
    </w:p>
    <w:tbl>
      <w:tblPr>
        <w:tblW w:w="12360" w:type="dxa"/>
        <w:jc w:val="center"/>
        <w:tblInd w:w="0" w:type="dxa"/>
        <w:tblCellMar>
          <w:top w:w="0" w:type="dxa"/>
          <w:left w:w="0" w:type="dxa"/>
          <w:bottom w:w="0" w:type="dxa"/>
          <w:right w:w="0" w:type="dxa"/>
        </w:tblCellMar>
      </w:tblPr>
      <w:tblGrid>
        <w:gridCol w:w="1625"/>
        <w:gridCol w:w="60"/>
        <w:gridCol w:w="60"/>
        <w:gridCol w:w="560"/>
        <w:gridCol w:w="60"/>
        <w:gridCol w:w="60"/>
        <w:gridCol w:w="60"/>
        <w:gridCol w:w="755"/>
        <w:gridCol w:w="60"/>
        <w:gridCol w:w="60"/>
        <w:gridCol w:w="1595"/>
        <w:gridCol w:w="60"/>
        <w:gridCol w:w="60"/>
        <w:gridCol w:w="620"/>
        <w:gridCol w:w="60"/>
        <w:gridCol w:w="60"/>
        <w:gridCol w:w="60"/>
        <w:gridCol w:w="620"/>
        <w:gridCol w:w="60"/>
        <w:gridCol w:w="60"/>
        <w:gridCol w:w="60"/>
        <w:gridCol w:w="60"/>
        <w:gridCol w:w="60"/>
        <w:gridCol w:w="60"/>
        <w:gridCol w:w="60"/>
        <w:gridCol w:w="815"/>
        <w:gridCol w:w="365"/>
        <w:gridCol w:w="60"/>
        <w:gridCol w:w="60"/>
        <w:gridCol w:w="890"/>
        <w:gridCol w:w="60"/>
        <w:gridCol w:w="60"/>
        <w:gridCol w:w="76"/>
        <w:gridCol w:w="1039"/>
        <w:gridCol w:w="365"/>
        <w:gridCol w:w="60"/>
        <w:gridCol w:w="80"/>
        <w:gridCol w:w="1455"/>
        <w:gridCol w:w="60"/>
      </w:tblGrid>
      <w:tr>
        <w:trPr/>
        <w:tc>
          <w:tcPr>
            <w:tcW w:w="162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5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7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59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89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76" w:type="dxa"/>
            <w:tcBorders/>
            <w:shd w:fill="auto" w:val="clear"/>
            <w:vAlign w:val="center"/>
          </w:tcPr>
          <w:p>
            <w:pPr>
              <w:pStyle w:val="TableContents"/>
              <w:spacing w:before="0" w:after="283"/>
              <w:rPr>
                <w:sz w:val="4"/>
                <w:szCs w:val="4"/>
              </w:rPr>
            </w:pPr>
            <w:r>
              <w:rPr>
                <w:sz w:val="4"/>
                <w:szCs w:val="4"/>
              </w:rPr>
            </w:r>
          </w:p>
        </w:tc>
        <w:tc>
          <w:tcPr>
            <w:tcW w:w="1039" w:type="dxa"/>
            <w:tcBorders/>
            <w:shd w:fill="auto" w:val="clear"/>
            <w:vAlign w:val="center"/>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80" w:type="dxa"/>
            <w:tcBorders/>
            <w:shd w:fill="auto" w:val="clear"/>
            <w:vAlign w:val="center"/>
          </w:tcPr>
          <w:p>
            <w:pPr>
              <w:pStyle w:val="TableContents"/>
              <w:spacing w:before="0" w:after="283"/>
              <w:rPr>
                <w:sz w:val="4"/>
                <w:szCs w:val="4"/>
              </w:rPr>
            </w:pPr>
            <w:r>
              <w:rPr>
                <w:sz w:val="4"/>
                <w:szCs w:val="4"/>
              </w:rPr>
            </w:r>
          </w:p>
        </w:tc>
        <w:tc>
          <w:tcPr>
            <w:tcW w:w="145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625"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620" w:type="dxa"/>
            <w:gridSpan w:val="2"/>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c>
          <w:tcPr>
            <w:tcW w:w="815" w:type="dxa"/>
            <w:gridSpan w:val="2"/>
            <w:tcBorders>
              <w:bottom w:val="single" w:sz="2" w:space="0" w:color="D8D8D8"/>
            </w:tcBorders>
            <w:shd w:fill="00548B" w:val="clear"/>
            <w:tcMar>
              <w:bottom w:w="28" w:type="dxa"/>
            </w:tcMar>
            <w:vAlign w:val="bottom"/>
          </w:tcPr>
          <w:p>
            <w:pPr>
              <w:pStyle w:val="TableContents"/>
              <w:spacing w:before="0" w:after="283"/>
              <w:rPr/>
            </w:pPr>
            <w:r>
              <w:rPr/>
              <w:t>  </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c>
          <w:tcPr>
            <w:tcW w:w="1595" w:type="dxa"/>
            <w:tcBorders>
              <w:bottom w:val="single" w:sz="2" w:space="0" w:color="D8D8D8"/>
            </w:tcBorders>
            <w:shd w:fill="00548B" w:val="clear"/>
            <w:tcMar>
              <w:bottom w:w="28" w:type="dxa"/>
            </w:tcMar>
            <w:vAlign w:val="bottom"/>
          </w:tcPr>
          <w:p>
            <w:pPr>
              <w:pStyle w:val="TableContents"/>
              <w:spacing w:before="0" w:after="283"/>
              <w:jc w:val="center"/>
              <w:rPr>
                <w:b/>
                <w:color w:val="E5E5E5"/>
              </w:rPr>
            </w:pPr>
            <w:r>
              <w:rPr>
                <w:b/>
                <w:color w:val="E5E5E5"/>
              </w:rPr>
              <w:t>Option Awards</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c>
          <w:tcPr>
            <w:tcW w:w="680" w:type="dxa"/>
            <w:gridSpan w:val="2"/>
            <w:tcBorders>
              <w:bottom w:val="single" w:sz="2" w:space="0" w:color="D8D8D8"/>
            </w:tcBorders>
            <w:shd w:fill="00548B" w:val="clear"/>
            <w:tcMar>
              <w:bottom w:w="28" w:type="dxa"/>
            </w:tcMar>
            <w:vAlign w:val="bottom"/>
          </w:tcPr>
          <w:p>
            <w:pPr>
              <w:pStyle w:val="TableContents"/>
              <w:spacing w:before="0" w:after="283"/>
              <w:rPr/>
            </w:pPr>
            <w:r>
              <w:rPr/>
              <w:t>  </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c>
          <w:tcPr>
            <w:tcW w:w="680" w:type="dxa"/>
            <w:gridSpan w:val="2"/>
            <w:tcBorders>
              <w:bottom w:val="single" w:sz="2" w:space="0" w:color="D8D8D8"/>
            </w:tcBorders>
            <w:shd w:fill="00548B" w:val="clear"/>
            <w:tcMar>
              <w:bottom w:w="28" w:type="dxa"/>
            </w:tcMar>
            <w:vAlign w:val="bottom"/>
          </w:tcPr>
          <w:p>
            <w:pPr>
              <w:pStyle w:val="TableContents"/>
              <w:spacing w:before="0" w:after="283"/>
              <w:rPr/>
            </w:pPr>
            <w:r>
              <w:rPr/>
              <w:t>  </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120" w:type="dxa"/>
            <w:gridSpan w:val="2"/>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c>
          <w:tcPr>
            <w:tcW w:w="5445" w:type="dxa"/>
            <w:gridSpan w:val="14"/>
            <w:tcBorders>
              <w:bottom w:val="single" w:sz="2" w:space="0" w:color="D8D8D8"/>
            </w:tcBorders>
            <w:shd w:fill="00548B" w:val="clear"/>
            <w:tcMar>
              <w:bottom w:w="28" w:type="dxa"/>
            </w:tcMar>
            <w:vAlign w:val="bottom"/>
          </w:tcPr>
          <w:p>
            <w:pPr>
              <w:pStyle w:val="TableContents"/>
              <w:spacing w:before="0" w:after="283"/>
              <w:jc w:val="center"/>
              <w:rPr>
                <w:b/>
                <w:color w:val="E5E5E5"/>
              </w:rPr>
            </w:pPr>
            <w:r>
              <w:rPr>
                <w:b/>
                <w:color w:val="E5E5E5"/>
              </w:rPr>
              <w:t>Stock Awards</w:t>
            </w:r>
          </w:p>
        </w:tc>
        <w:tc>
          <w:tcPr>
            <w:tcW w:w="60" w:type="dxa"/>
            <w:tcBorders>
              <w:bottom w:val="single" w:sz="2" w:space="0" w:color="D8D8D8"/>
            </w:tcBorders>
            <w:shd w:fill="00548B" w:val="clear"/>
            <w:tcMar>
              <w:bottom w:w="28" w:type="dxa"/>
            </w:tcMar>
            <w:vAlign w:val="bottom"/>
          </w:tcPr>
          <w:p>
            <w:pPr>
              <w:pStyle w:val="TableContents"/>
              <w:spacing w:before="0" w:after="283"/>
              <w:rPr/>
            </w:pPr>
            <w:r>
              <w:rPr/>
              <w:t> </w:t>
            </w:r>
          </w:p>
        </w:tc>
      </w:tr>
      <w:tr>
        <w:trPr/>
        <w:tc>
          <w:tcPr>
            <w:tcW w:w="1625" w:type="dxa"/>
            <w:tcBorders/>
            <w:shd w:fill="00548B" w:val="clear"/>
            <w:vAlign w:val="bottom"/>
          </w:tcPr>
          <w:p>
            <w:pPr>
              <w:pStyle w:val="TableContents"/>
              <w:spacing w:before="0" w:after="283"/>
              <w:rPr>
                <w:b/>
                <w:color w:val="D8D8D8"/>
              </w:rPr>
            </w:pPr>
            <w:r>
              <w:rPr>
                <w:b/>
                <w:color w:val="D8D8D8"/>
              </w:rPr>
              <w:t>Name</w:t>
            </w:r>
          </w:p>
        </w:tc>
        <w:tc>
          <w:tcPr>
            <w:tcW w:w="60" w:type="dxa"/>
            <w:tcBorders/>
            <w:shd w:fill="00548B" w:val="clear"/>
            <w:vAlign w:val="bottom"/>
          </w:tcPr>
          <w:p>
            <w:pPr>
              <w:pStyle w:val="TableContents"/>
              <w:spacing w:before="0" w:after="283"/>
              <w:rPr/>
            </w:pPr>
            <w:r>
              <w:rPr/>
              <w:t> </w:t>
            </w:r>
          </w:p>
        </w:tc>
        <w:tc>
          <w:tcPr>
            <w:tcW w:w="620" w:type="dxa"/>
            <w:gridSpan w:val="2"/>
            <w:tcBorders/>
            <w:shd w:fill="00548B" w:val="clear"/>
            <w:vAlign w:val="bottom"/>
          </w:tcPr>
          <w:p>
            <w:pPr>
              <w:pStyle w:val="TableContents"/>
              <w:spacing w:before="0" w:after="0"/>
              <w:jc w:val="center"/>
              <w:rPr>
                <w:rFonts w:ascii="arial" w:hAnsi="arial"/>
                <w:b/>
                <w:color w:val="E5E5E5"/>
                <w:sz w:val="14"/>
              </w:rPr>
            </w:pPr>
            <w:r>
              <w:rPr>
                <w:rFonts w:ascii="arial" w:hAnsi="arial"/>
                <w:b/>
                <w:color w:val="E5E5E5"/>
                <w:sz w:val="14"/>
              </w:rPr>
              <w:t>Grant</w:t>
            </w:r>
          </w:p>
          <w:p>
            <w:pPr>
              <w:pStyle w:val="TableContents"/>
              <w:spacing w:before="0" w:after="20"/>
              <w:jc w:val="center"/>
              <w:rPr>
                <w:rFonts w:ascii="arial" w:hAnsi="arial"/>
                <w:b/>
                <w:color w:val="E5E5E5"/>
                <w:sz w:val="14"/>
              </w:rPr>
            </w:pPr>
            <w:r>
              <w:rPr>
                <w:rFonts w:ascii="arial" w:hAnsi="arial"/>
                <w:b/>
                <w:color w:val="E5E5E5"/>
                <w:sz w:val="14"/>
              </w:rPr>
              <w:t>Date</w:t>
            </w:r>
          </w:p>
        </w:tc>
        <w:tc>
          <w:tcPr>
            <w:tcW w:w="60" w:type="dxa"/>
            <w:tcBorders/>
            <w:shd w:fill="00548B" w:val="cle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815"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E5E5E5"/>
                <w:sz w:val="14"/>
              </w:rPr>
            </w:pPr>
            <w:r>
              <w:rPr>
                <w:rFonts w:ascii="arial" w:hAnsi="arial"/>
                <w:b/>
                <w:color w:val="E5E5E5"/>
                <w:sz w:val="14"/>
              </w:rPr>
              <w:t>Number of</w:t>
            </w:r>
          </w:p>
          <w:p>
            <w:pPr>
              <w:pStyle w:val="TableContents"/>
              <w:spacing w:before="0" w:after="0"/>
              <w:jc w:val="center"/>
              <w:rPr>
                <w:rFonts w:ascii="arial" w:hAnsi="arial"/>
                <w:b/>
                <w:color w:val="E5E5E5"/>
                <w:sz w:val="14"/>
              </w:rPr>
            </w:pPr>
            <w:r>
              <w:rPr>
                <w:rFonts w:ascii="arial" w:hAnsi="arial"/>
                <w:b/>
                <w:color w:val="E5E5E5"/>
                <w:sz w:val="14"/>
              </w:rPr>
              <w:t>Securities</w:t>
            </w:r>
          </w:p>
          <w:p>
            <w:pPr>
              <w:pStyle w:val="TableContents"/>
              <w:spacing w:before="0" w:after="0"/>
              <w:jc w:val="center"/>
              <w:rPr>
                <w:rFonts w:ascii="arial" w:hAnsi="arial"/>
                <w:b/>
                <w:color w:val="E5E5E5"/>
                <w:sz w:val="14"/>
              </w:rPr>
            </w:pPr>
            <w:r>
              <w:rPr>
                <w:rFonts w:ascii="arial" w:hAnsi="arial"/>
                <w:b/>
                <w:color w:val="E5E5E5"/>
                <w:sz w:val="14"/>
              </w:rPr>
              <w:t>Underlying</w:t>
            </w:r>
          </w:p>
          <w:p>
            <w:pPr>
              <w:pStyle w:val="TableContents"/>
              <w:spacing w:before="0" w:after="0"/>
              <w:jc w:val="center"/>
              <w:rPr>
                <w:rFonts w:ascii="arial" w:hAnsi="arial"/>
                <w:b/>
                <w:color w:val="E5E5E5"/>
                <w:sz w:val="14"/>
              </w:rPr>
            </w:pPr>
            <w:r>
              <w:rPr>
                <w:rFonts w:ascii="arial" w:hAnsi="arial"/>
                <w:b/>
                <w:color w:val="E5E5E5"/>
                <w:sz w:val="14"/>
              </w:rPr>
              <w:t>Unexercised</w:t>
            </w:r>
          </w:p>
          <w:p>
            <w:pPr>
              <w:pStyle w:val="TableContents"/>
              <w:spacing w:before="0" w:after="0"/>
              <w:jc w:val="center"/>
              <w:rPr>
                <w:rFonts w:ascii="arial" w:hAnsi="arial"/>
                <w:b/>
                <w:color w:val="E5E5E5"/>
                <w:sz w:val="14"/>
              </w:rPr>
            </w:pPr>
            <w:r>
              <w:rPr>
                <w:rFonts w:ascii="arial" w:hAnsi="arial"/>
                <w:b/>
                <w:color w:val="E5E5E5"/>
                <w:sz w:val="14"/>
              </w:rPr>
              <w:t>Options (#)</w:t>
            </w:r>
          </w:p>
          <w:p>
            <w:pPr>
              <w:pStyle w:val="TableContents"/>
              <w:spacing w:before="0" w:after="20"/>
              <w:jc w:val="center"/>
              <w:rPr>
                <w:rFonts w:ascii="arial" w:hAnsi="arial"/>
                <w:b/>
                <w:color w:val="E5E5E5"/>
                <w:sz w:val="14"/>
              </w:rPr>
            </w:pPr>
            <w:r>
              <w:rPr>
                <w:rFonts w:ascii="arial" w:hAnsi="arial"/>
                <w:b/>
                <w:color w:val="E5E5E5"/>
                <w:sz w:val="14"/>
              </w:rPr>
              <w:t>Exercisable</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1595" w:type="dxa"/>
            <w:tcBorders>
              <w:top w:val="single" w:sz="2" w:space="0" w:color="D8D8D8"/>
            </w:tcBorders>
            <w:shd w:fill="00548B" w:val="clear"/>
            <w:tcMar>
              <w:top w:w="28" w:type="dxa"/>
            </w:tcMar>
            <w:vAlign w:val="bottom"/>
          </w:tcPr>
          <w:p>
            <w:pPr>
              <w:pStyle w:val="TableContents"/>
              <w:spacing w:before="0" w:after="283"/>
              <w:jc w:val="center"/>
              <w:rPr>
                <w:b/>
                <w:color w:val="E5E5E5"/>
              </w:rPr>
            </w:pPr>
            <w:r>
              <w:rPr>
                <w:b/>
                <w:color w:val="E5E5E5"/>
              </w:rPr>
              <w:t>Number of</w:t>
              <w:br/>
              <w:t>Securities</w:t>
              <w:br/>
              <w:t>Underlying</w:t>
              <w:br/>
              <w:t>Unexercised</w:t>
              <w:br/>
              <w:t>Options (#)</w:t>
              <w:br/>
              <w:t>Unexercisable</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80"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E5E5E5"/>
                <w:sz w:val="14"/>
              </w:rPr>
            </w:pPr>
            <w:r>
              <w:rPr>
                <w:rFonts w:ascii="arial" w:hAnsi="arial"/>
                <w:b/>
                <w:color w:val="E5E5E5"/>
                <w:sz w:val="14"/>
              </w:rPr>
              <w:t>Option</w:t>
            </w:r>
          </w:p>
          <w:p>
            <w:pPr>
              <w:pStyle w:val="TableContents"/>
              <w:spacing w:before="0" w:after="0"/>
              <w:jc w:val="center"/>
              <w:rPr>
                <w:rFonts w:ascii="arial" w:hAnsi="arial"/>
                <w:b/>
                <w:color w:val="E5E5E5"/>
                <w:sz w:val="14"/>
              </w:rPr>
            </w:pPr>
            <w:r>
              <w:rPr>
                <w:rFonts w:ascii="arial" w:hAnsi="arial"/>
                <w:b/>
                <w:color w:val="E5E5E5"/>
                <w:sz w:val="14"/>
              </w:rPr>
              <w:t>Exercise</w:t>
            </w:r>
          </w:p>
          <w:p>
            <w:pPr>
              <w:pStyle w:val="TableContents"/>
              <w:spacing w:before="0" w:after="20"/>
              <w:jc w:val="center"/>
              <w:rPr>
                <w:rFonts w:ascii="arial" w:hAnsi="arial"/>
                <w:b/>
                <w:color w:val="E5E5E5"/>
                <w:sz w:val="14"/>
              </w:rPr>
            </w:pPr>
            <w:r>
              <w:rPr>
                <w:rFonts w:ascii="arial" w:hAnsi="arial"/>
                <w:b/>
                <w:color w:val="E5E5E5"/>
                <w:sz w:val="14"/>
              </w:rPr>
              <w:t>Price</w:t>
              <w:br/>
              <w:t>($)</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80"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E5E5E5"/>
                <w:sz w:val="14"/>
              </w:rPr>
            </w:pPr>
            <w:r>
              <w:rPr>
                <w:rFonts w:ascii="arial" w:hAnsi="arial"/>
                <w:b/>
                <w:color w:val="E5E5E5"/>
                <w:sz w:val="14"/>
              </w:rPr>
              <w:t>Option</w:t>
            </w:r>
          </w:p>
          <w:p>
            <w:pPr>
              <w:pStyle w:val="TableContents"/>
              <w:spacing w:before="0" w:after="0"/>
              <w:jc w:val="center"/>
              <w:rPr>
                <w:rFonts w:ascii="arial" w:hAnsi="arial"/>
                <w:b/>
                <w:color w:val="E5E5E5"/>
                <w:sz w:val="14"/>
              </w:rPr>
            </w:pPr>
            <w:r>
              <w:rPr>
                <w:rFonts w:ascii="arial" w:hAnsi="arial"/>
                <w:b/>
                <w:color w:val="E5E5E5"/>
                <w:sz w:val="14"/>
              </w:rPr>
              <w:t>Expiration</w:t>
            </w:r>
          </w:p>
          <w:p>
            <w:pPr>
              <w:pStyle w:val="TableContents"/>
              <w:spacing w:before="0" w:after="20"/>
              <w:jc w:val="center"/>
              <w:rPr>
                <w:rFonts w:ascii="arial" w:hAnsi="arial"/>
                <w:b/>
                <w:color w:val="E5E5E5"/>
                <w:sz w:val="14"/>
              </w:rPr>
            </w:pPr>
            <w:r>
              <w:rPr>
                <w:rFonts w:ascii="arial" w:hAnsi="arial"/>
                <w:b/>
                <w:color w:val="E5E5E5"/>
                <w:sz w:val="14"/>
              </w:rPr>
              <w:t>Date</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120" w:type="dxa"/>
            <w:gridSpan w:val="2"/>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875"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E5E5E5"/>
                <w:sz w:val="14"/>
              </w:rPr>
            </w:pPr>
            <w:r>
              <w:rPr>
                <w:rFonts w:ascii="arial" w:hAnsi="arial"/>
                <w:b/>
                <w:color w:val="E5E5E5"/>
                <w:sz w:val="14"/>
              </w:rPr>
              <w:t>Number of</w:t>
            </w:r>
          </w:p>
          <w:p>
            <w:pPr>
              <w:pStyle w:val="TableContents"/>
              <w:spacing w:before="0" w:after="0"/>
              <w:jc w:val="center"/>
              <w:rPr>
                <w:rFonts w:ascii="arial" w:hAnsi="arial"/>
                <w:b/>
                <w:color w:val="E5E5E5"/>
                <w:sz w:val="14"/>
              </w:rPr>
            </w:pPr>
            <w:r>
              <w:rPr>
                <w:rFonts w:ascii="arial" w:hAnsi="arial"/>
                <w:b/>
                <w:color w:val="E5E5E5"/>
                <w:sz w:val="14"/>
              </w:rPr>
              <w:t>Shares or</w:t>
            </w:r>
          </w:p>
          <w:p>
            <w:pPr>
              <w:pStyle w:val="TableContents"/>
              <w:spacing w:before="0" w:after="0"/>
              <w:jc w:val="center"/>
              <w:rPr>
                <w:rFonts w:ascii="arial" w:hAnsi="arial"/>
                <w:b/>
                <w:color w:val="E5E5E5"/>
                <w:sz w:val="14"/>
              </w:rPr>
            </w:pPr>
            <w:r>
              <w:rPr>
                <w:rFonts w:ascii="arial" w:hAnsi="arial"/>
                <w:b/>
                <w:color w:val="E5E5E5"/>
                <w:sz w:val="14"/>
              </w:rPr>
              <w:t>Units of</w:t>
              <w:br/>
              <w:t>Stock that</w:t>
              <w:br/>
              <w:t>Have Not</w:t>
            </w:r>
          </w:p>
          <w:p>
            <w:pPr>
              <w:pStyle w:val="TableContents"/>
              <w:spacing w:before="0" w:after="20"/>
              <w:jc w:val="center"/>
              <w:rPr>
                <w:rFonts w:ascii="arial" w:hAnsi="arial"/>
                <w:b/>
                <w:color w:val="E5E5E5"/>
                <w:sz w:val="14"/>
              </w:rPr>
            </w:pPr>
            <w:r>
              <w:rPr>
                <w:rFonts w:ascii="arial" w:hAnsi="arial"/>
                <w:b/>
                <w:color w:val="E5E5E5"/>
                <w:sz w:val="14"/>
              </w:rPr>
              <w:t>Vested (#)</w:t>
            </w:r>
          </w:p>
        </w:tc>
        <w:tc>
          <w:tcPr>
            <w:tcW w:w="365"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950"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E5E5E5"/>
                <w:sz w:val="14"/>
              </w:rPr>
            </w:pPr>
            <w:r>
              <w:rPr>
                <w:rFonts w:ascii="arial" w:hAnsi="arial"/>
                <w:b/>
                <w:color w:val="E5E5E5"/>
                <w:sz w:val="14"/>
              </w:rPr>
              <w:t>Market Value</w:t>
            </w:r>
          </w:p>
          <w:p>
            <w:pPr>
              <w:pStyle w:val="TableContents"/>
              <w:spacing w:before="0" w:after="0"/>
              <w:jc w:val="center"/>
              <w:rPr>
                <w:rFonts w:ascii="arial" w:hAnsi="arial"/>
                <w:b/>
                <w:color w:val="E5E5E5"/>
                <w:sz w:val="14"/>
              </w:rPr>
            </w:pPr>
            <w:r>
              <w:rPr>
                <w:rFonts w:ascii="arial" w:hAnsi="arial"/>
                <w:b/>
                <w:color w:val="E5E5E5"/>
                <w:sz w:val="14"/>
              </w:rPr>
              <w:t>of Shares or</w:t>
              <w:br/>
              <w:t>Units of</w:t>
            </w:r>
          </w:p>
          <w:p>
            <w:pPr>
              <w:pStyle w:val="TableContents"/>
              <w:spacing w:before="0" w:after="20"/>
              <w:jc w:val="center"/>
              <w:rPr>
                <w:rFonts w:ascii="arial" w:hAnsi="arial"/>
                <w:b/>
                <w:color w:val="E5E5E5"/>
                <w:sz w:val="14"/>
              </w:rPr>
            </w:pPr>
            <w:r>
              <w:rPr>
                <w:rFonts w:ascii="arial" w:hAnsi="arial"/>
                <w:b/>
                <w:color w:val="E5E5E5"/>
                <w:sz w:val="14"/>
              </w:rPr>
              <w:t>Stock that</w:t>
              <w:br/>
              <w:t>Have Not</w:t>
              <w:br/>
              <w:t>Vested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1115"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E5E5E5"/>
                <w:sz w:val="14"/>
              </w:rPr>
            </w:pPr>
            <w:r>
              <w:rPr>
                <w:rFonts w:ascii="arial" w:hAnsi="arial"/>
                <w:b/>
                <w:color w:val="E5E5E5"/>
                <w:sz w:val="14"/>
              </w:rPr>
              <w:t>Equity Incentive</w:t>
              <w:br/>
              <w:t>Plan Awards:</w:t>
              <w:br/>
              <w:t>Number of</w:t>
            </w:r>
          </w:p>
          <w:p>
            <w:pPr>
              <w:pStyle w:val="TableContents"/>
              <w:spacing w:before="0" w:after="0"/>
              <w:jc w:val="center"/>
              <w:rPr>
                <w:rFonts w:ascii="arial" w:hAnsi="arial"/>
                <w:b/>
                <w:color w:val="E5E5E5"/>
                <w:sz w:val="14"/>
              </w:rPr>
            </w:pPr>
            <w:r>
              <w:rPr>
                <w:rFonts w:ascii="arial" w:hAnsi="arial"/>
                <w:b/>
                <w:color w:val="E5E5E5"/>
                <w:sz w:val="14"/>
              </w:rPr>
              <w:t>Unearned Shares,</w:t>
            </w:r>
          </w:p>
          <w:p>
            <w:pPr>
              <w:pStyle w:val="TableContents"/>
              <w:spacing w:before="0" w:after="0"/>
              <w:jc w:val="center"/>
              <w:rPr>
                <w:rFonts w:ascii="arial" w:hAnsi="arial"/>
                <w:b/>
                <w:color w:val="E5E5E5"/>
                <w:sz w:val="14"/>
              </w:rPr>
            </w:pPr>
            <w:r>
              <w:rPr>
                <w:rFonts w:ascii="arial" w:hAnsi="arial"/>
                <w:b/>
                <w:color w:val="E5E5E5"/>
                <w:sz w:val="14"/>
              </w:rPr>
              <w:t>Units or Other</w:t>
            </w:r>
          </w:p>
          <w:p>
            <w:pPr>
              <w:pStyle w:val="TableContents"/>
              <w:spacing w:before="0" w:after="0"/>
              <w:jc w:val="center"/>
              <w:rPr>
                <w:rFonts w:ascii="arial" w:hAnsi="arial"/>
                <w:b/>
                <w:color w:val="E5E5E5"/>
                <w:sz w:val="14"/>
              </w:rPr>
            </w:pPr>
            <w:r>
              <w:rPr>
                <w:rFonts w:ascii="arial" w:hAnsi="arial"/>
                <w:b/>
                <w:color w:val="E5E5E5"/>
                <w:sz w:val="14"/>
              </w:rPr>
              <w:t>Rights that Have</w:t>
            </w:r>
          </w:p>
          <w:p>
            <w:pPr>
              <w:pStyle w:val="TableContents"/>
              <w:spacing w:before="0" w:after="0"/>
              <w:jc w:val="center"/>
              <w:rPr>
                <w:rFonts w:ascii="arial" w:hAnsi="arial"/>
                <w:b/>
                <w:color w:val="E5E5E5"/>
                <w:sz w:val="14"/>
              </w:rPr>
            </w:pPr>
            <w:r>
              <w:rPr>
                <w:rFonts w:ascii="arial" w:hAnsi="arial"/>
                <w:b/>
                <w:color w:val="E5E5E5"/>
                <w:sz w:val="14"/>
              </w:rPr>
              <w:t>Not Yet Vested</w:t>
            </w:r>
          </w:p>
          <w:p>
            <w:pPr>
              <w:pStyle w:val="TableContents"/>
              <w:spacing w:before="0" w:after="20"/>
              <w:jc w:val="center"/>
              <w:rPr>
                <w:rFonts w:ascii="arial" w:hAnsi="arial"/>
                <w:b/>
                <w:color w:val="E5E5E5"/>
                <w:sz w:val="14"/>
              </w:rPr>
            </w:pPr>
            <w:r>
              <w:rPr>
                <w:rFonts w:ascii="arial" w:hAnsi="arial"/>
                <w:b/>
                <w:color w:val="E5E5E5"/>
                <w:sz w:val="14"/>
              </w:rPr>
              <w:t>(#) (3)</w:t>
            </w:r>
          </w:p>
        </w:tc>
        <w:tc>
          <w:tcPr>
            <w:tcW w:w="365" w:type="dxa"/>
            <w:tcBorders>
              <w:top w:val="single" w:sz="2" w:space="0" w:color="D8D8D8"/>
            </w:tcBorders>
            <w:shd w:fill="00548B" w:val="clear"/>
            <w:tcMar>
              <w:top w:w="28" w:type="dxa"/>
            </w:tcMar>
            <w:vAlign w:val="bottom"/>
          </w:tcPr>
          <w:p>
            <w:pPr>
              <w:pStyle w:val="TableContents"/>
              <w:spacing w:before="0" w:after="283"/>
              <w:rPr/>
            </w:pPr>
            <w:r>
              <w:rPr/>
              <w:t>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c>
          <w:tcPr>
            <w:tcW w:w="1535" w:type="dxa"/>
            <w:gridSpan w:val="2"/>
            <w:tcBorders>
              <w:top w:val="single" w:sz="2" w:space="0" w:color="D8D8D8"/>
            </w:tcBorders>
            <w:shd w:fill="00548B" w:val="clear"/>
            <w:tcMar>
              <w:top w:w="28" w:type="dxa"/>
            </w:tcMar>
            <w:vAlign w:val="bottom"/>
          </w:tcPr>
          <w:p>
            <w:pPr>
              <w:pStyle w:val="TableContents"/>
              <w:spacing w:before="0" w:after="0"/>
              <w:jc w:val="center"/>
              <w:rPr>
                <w:rFonts w:ascii="arial" w:hAnsi="arial"/>
                <w:b/>
                <w:color w:val="E5E5E5"/>
                <w:sz w:val="14"/>
              </w:rPr>
            </w:pPr>
            <w:r>
              <w:rPr>
                <w:rFonts w:ascii="arial" w:hAnsi="arial"/>
                <w:b/>
                <w:color w:val="E5E5E5"/>
                <w:sz w:val="14"/>
              </w:rPr>
              <w:t>Equity Incentive Plan</w:t>
              <w:br/>
              <w:t>Awards: Market or</w:t>
            </w:r>
          </w:p>
          <w:p>
            <w:pPr>
              <w:pStyle w:val="TableContents"/>
              <w:spacing w:before="0" w:after="0"/>
              <w:jc w:val="center"/>
              <w:rPr>
                <w:rFonts w:ascii="arial" w:hAnsi="arial"/>
                <w:b/>
                <w:color w:val="E5E5E5"/>
                <w:sz w:val="14"/>
              </w:rPr>
            </w:pPr>
            <w:r>
              <w:rPr>
                <w:rFonts w:ascii="arial" w:hAnsi="arial"/>
                <w:b/>
                <w:color w:val="E5E5E5"/>
                <w:sz w:val="14"/>
              </w:rPr>
              <w:t>Payout Value of</w:t>
            </w:r>
          </w:p>
          <w:p>
            <w:pPr>
              <w:pStyle w:val="TableContents"/>
              <w:spacing w:before="0" w:after="0"/>
              <w:jc w:val="center"/>
              <w:rPr>
                <w:rFonts w:ascii="arial" w:hAnsi="arial"/>
                <w:b/>
                <w:color w:val="E5E5E5"/>
                <w:sz w:val="14"/>
              </w:rPr>
            </w:pPr>
            <w:r>
              <w:rPr>
                <w:rFonts w:ascii="arial" w:hAnsi="arial"/>
                <w:b/>
                <w:color w:val="E5E5E5"/>
                <w:sz w:val="14"/>
              </w:rPr>
              <w:t>Unearned Shares, Units</w:t>
              <w:br/>
              <w:t>or Other Rights that</w:t>
            </w:r>
          </w:p>
          <w:p>
            <w:pPr>
              <w:pStyle w:val="TableContents"/>
              <w:spacing w:before="0" w:after="20"/>
              <w:jc w:val="center"/>
              <w:rPr>
                <w:rFonts w:ascii="arial" w:hAnsi="arial"/>
                <w:b/>
                <w:color w:val="E5E5E5"/>
                <w:sz w:val="14"/>
              </w:rPr>
            </w:pPr>
            <w:r>
              <w:rPr>
                <w:rFonts w:ascii="arial" w:hAnsi="arial"/>
                <w:b/>
                <w:color w:val="E5E5E5"/>
                <w:sz w:val="14"/>
              </w:rPr>
              <w:t>Have Not Yet Vested ($)</w:t>
            </w:r>
          </w:p>
        </w:tc>
        <w:tc>
          <w:tcPr>
            <w:tcW w:w="60" w:type="dxa"/>
            <w:tcBorders>
              <w:top w:val="single" w:sz="2" w:space="0" w:color="D8D8D8"/>
            </w:tcBorders>
            <w:shd w:fill="00548B" w:val="clear"/>
            <w:tcMar>
              <w:top w:w="28" w:type="dxa"/>
            </w:tcMar>
            <w:vAlign w:val="bottom"/>
          </w:tcPr>
          <w:p>
            <w:pPr>
              <w:pStyle w:val="TableContents"/>
              <w:spacing w:before="0" w:after="283"/>
              <w:rPr/>
            </w:pPr>
            <w:r>
              <w:rPr/>
              <w:t> </w:t>
            </w:r>
          </w:p>
        </w:tc>
      </w:tr>
      <w:tr>
        <w:trPr/>
        <w:tc>
          <w:tcPr>
            <w:tcW w:w="1625" w:type="dxa"/>
            <w:tcBorders/>
            <w:shd w:fill="auto" w:val="clear"/>
          </w:tcPr>
          <w:p>
            <w:pPr>
              <w:pStyle w:val="TableContents"/>
              <w:spacing w:before="0" w:after="0"/>
              <w:rPr>
                <w:rFonts w:ascii="arial" w:hAnsi="arial"/>
                <w:sz w:val="16"/>
              </w:rPr>
            </w:pPr>
            <w:r>
              <w:rPr>
                <w:rFonts w:ascii="arial" w:hAnsi="arial"/>
                <w:sz w:val="16"/>
              </w:rPr>
              <w:t>James H. Roth</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3/11/2011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rPr>
            </w:pPr>
            <w:r>
              <w:rPr>
                <w:rFonts w:ascii="ARIAL" w:hAnsi="ARIAL"/>
              </w:rPr>
              <w:t>6,631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26.19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3/11/2021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rPr>
            </w:pPr>
            <w:r>
              <w:rPr>
                <w:rFonts w:ascii="ARIAL" w:hAnsi="ARIAL"/>
              </w:rPr>
              <w:t>19,661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38.18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3/01/2022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rPr>
            </w:pPr>
            <w:r>
              <w:rPr>
                <w:rFonts w:ascii="ARIAL" w:hAnsi="ARIAL"/>
              </w:rPr>
              <w:t>24,054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39.19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3/01/2023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7,660 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451,557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rFonts w:ascii="ARIAL" w:hAnsi="ARIAL"/>
              </w:rPr>
            </w:pPr>
            <w:r>
              <w:rPr>
                <w:rFonts w:ascii="ARIAL" w:hAnsi="ARIAL"/>
              </w:rPr>
              <w:t>53,617 </w:t>
            </w:r>
          </w:p>
        </w:tc>
        <w:tc>
          <w:tcPr>
            <w:tcW w:w="365" w:type="dxa"/>
            <w:tcBorders/>
            <w:shd w:fill="auto" w:val="clear"/>
            <w:vAlign w:val="bottom"/>
          </w:tcPr>
          <w:p>
            <w:pPr>
              <w:pStyle w:val="TableContents"/>
              <w:spacing w:before="0" w:after="283"/>
              <w:rPr>
                <w:rFonts w:ascii="ARIAL" w:hAnsi="ARIAL"/>
              </w:rPr>
            </w:pPr>
            <w:r>
              <w:rPr>
                <w:rFonts w:ascii="ARIAL" w:hAnsi="ARIAL"/>
              </w:rPr>
              <w:t>(3)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right"/>
              <w:rPr>
                <w:rFonts w:ascii="ARIAL" w:hAnsi="ARIAL"/>
              </w:rPr>
            </w:pPr>
            <w:r>
              <w:rPr>
                <w:rFonts w:ascii="ARIAL" w:hAnsi="ARIAL"/>
              </w:rPr>
              <w:t>3,160,722</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8,450 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498,128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rFonts w:ascii="ARIAL" w:hAnsi="ARIAL"/>
              </w:rPr>
            </w:pPr>
            <w:r>
              <w:rPr>
                <w:rFonts w:ascii="ARIAL" w:hAnsi="ARIAL"/>
              </w:rPr>
              <w:t>29,574 </w:t>
            </w:r>
          </w:p>
        </w:tc>
        <w:tc>
          <w:tcPr>
            <w:tcW w:w="365" w:type="dxa"/>
            <w:tcBorders/>
            <w:shd w:fill="auto" w:val="clear"/>
            <w:vAlign w:val="bottom"/>
          </w:tcPr>
          <w:p>
            <w:pPr>
              <w:pStyle w:val="TableContents"/>
              <w:spacing w:before="0" w:after="283"/>
              <w:rPr>
                <w:rFonts w:ascii="ARIAL" w:hAnsi="ARIAL"/>
              </w:rPr>
            </w:pPr>
            <w:r>
              <w:rPr>
                <w:rFonts w:ascii="ARIAL" w:hAnsi="ARIAL"/>
              </w:rPr>
              <w:t>(4)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right"/>
              <w:rPr>
                <w:rFonts w:ascii="ARIAL" w:hAnsi="ARIAL"/>
              </w:rPr>
            </w:pPr>
            <w:r>
              <w:rPr>
                <w:rFonts w:ascii="ARIAL" w:hAnsi="ARIAL"/>
              </w:rPr>
              <w:t>1,743,387</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10,806 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637,014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56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3/01/2020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75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59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2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2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1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365"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76" w:type="dxa"/>
            <w:tcBorders>
              <w:bottom w:val="single" w:sz="2" w:space="0" w:color="999999"/>
            </w:tcBorders>
            <w:shd w:fill="auto" w:val="clear"/>
            <w:tcMar>
              <w:bottom w:w="28" w:type="dxa"/>
            </w:tcMar>
            <w:vAlign w:val="bottom"/>
          </w:tcPr>
          <w:p>
            <w:pPr>
              <w:pStyle w:val="TableContents"/>
              <w:spacing w:before="0" w:after="283"/>
              <w:rPr/>
            </w:pPr>
            <w:r>
              <w:rPr/>
              <w:t> </w:t>
            </w:r>
          </w:p>
        </w:tc>
        <w:tc>
          <w:tcPr>
            <w:tcW w:w="1039"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25,215 </w:t>
            </w:r>
          </w:p>
        </w:tc>
        <w:tc>
          <w:tcPr>
            <w:tcW w:w="365"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(6)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0" w:type="dxa"/>
            <w:tcBorders>
              <w:bottom w:val="single" w:sz="2" w:space="0" w:color="999999"/>
            </w:tcBorders>
            <w:shd w:fill="auto" w:val="clear"/>
            <w:tcMar>
              <w:bottom w:w="28" w:type="dxa"/>
            </w:tcMar>
            <w:vAlign w:val="bottom"/>
          </w:tcPr>
          <w:p>
            <w:pPr>
              <w:pStyle w:val="TableContents"/>
              <w:spacing w:before="0" w:after="283"/>
              <w:rPr/>
            </w:pPr>
            <w:r>
              <w:rPr/>
              <w:t> </w:t>
            </w:r>
          </w:p>
        </w:tc>
        <w:tc>
          <w:tcPr>
            <w:tcW w:w="145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1,486,424</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625" w:type="dxa"/>
            <w:tcBorders/>
            <w:shd w:fill="auto" w:val="clear"/>
          </w:tcPr>
          <w:p>
            <w:pPr>
              <w:pStyle w:val="TableContents"/>
              <w:spacing w:before="0" w:after="0"/>
              <w:rPr>
                <w:rFonts w:ascii="arial" w:hAnsi="arial"/>
                <w:sz w:val="16"/>
              </w:rPr>
            </w:pPr>
            <w:r>
              <w:rPr>
                <w:rFonts w:ascii="arial" w:hAnsi="arial"/>
                <w:sz w:val="16"/>
              </w:rPr>
              <w:t>C. Mark Hussey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8/01/2011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rPr>
            </w:pPr>
            <w:r>
              <w:rPr>
                <w:rFonts w:ascii="ARIAL" w:hAnsi="ARIAL"/>
              </w:rPr>
              <w:t>1,772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32.37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8/01/2021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rPr>
            </w:pPr>
            <w:r>
              <w:rPr>
                <w:rFonts w:ascii="ARIAL" w:hAnsi="ARIAL"/>
              </w:rPr>
              <w:t>6,144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38.18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3/01/2022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right"/>
              <w:rPr>
                <w:rFonts w:ascii="ARIAL" w:hAnsi="ARIAL"/>
              </w:rPr>
            </w:pPr>
            <w:r>
              <w:rPr>
                <w:rFonts w:ascii="ARIAL" w:hAnsi="ARIAL"/>
              </w:rPr>
              <w:t>7,731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39.19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right"/>
              <w:rPr>
                <w:rFonts w:ascii="ARIAL" w:hAnsi="ARIAL"/>
              </w:rPr>
            </w:pPr>
            <w:r>
              <w:rPr>
                <w:rFonts w:ascii="ARIAL" w:hAnsi="ARIAL"/>
              </w:rPr>
              <w:t>3/01/2023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8/21/2017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8,013 </w:t>
            </w:r>
          </w:p>
        </w:tc>
        <w:tc>
          <w:tcPr>
            <w:tcW w:w="365" w:type="dxa"/>
            <w:tcBorders/>
            <w:shd w:fill="auto" w:val="clear"/>
            <w:vAlign w:val="bottom"/>
          </w:tcPr>
          <w:p>
            <w:pPr>
              <w:pStyle w:val="TableContents"/>
              <w:spacing w:before="0" w:after="283"/>
              <w:rPr>
                <w:rFonts w:ascii="ARIAL" w:hAnsi="ARIAL"/>
              </w:rPr>
            </w:pPr>
            <w:r>
              <w:rPr>
                <w:rFonts w:ascii="ARIAL" w:hAnsi="ARIAL"/>
              </w:rPr>
              <w:t>(1)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472,366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3,724 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219,530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rFonts w:ascii="ARIAL" w:hAnsi="ARIAL"/>
              </w:rPr>
            </w:pPr>
            <w:r>
              <w:rPr>
                <w:rFonts w:ascii="ARIAL" w:hAnsi="ARIAL"/>
              </w:rPr>
              <w:t>26,064 </w:t>
            </w:r>
          </w:p>
        </w:tc>
        <w:tc>
          <w:tcPr>
            <w:tcW w:w="365" w:type="dxa"/>
            <w:tcBorders/>
            <w:shd w:fill="auto" w:val="clear"/>
            <w:vAlign w:val="bottom"/>
          </w:tcPr>
          <w:p>
            <w:pPr>
              <w:pStyle w:val="TableContents"/>
              <w:spacing w:before="0" w:after="283"/>
              <w:rPr>
                <w:rFonts w:ascii="ARIAL" w:hAnsi="ARIAL"/>
              </w:rPr>
            </w:pPr>
            <w:r>
              <w:rPr>
                <w:rFonts w:ascii="ARIAL" w:hAnsi="ARIAL"/>
              </w:rPr>
              <w:t>(3)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right"/>
              <w:rPr>
                <w:rFonts w:ascii="ARIAL" w:hAnsi="ARIAL"/>
              </w:rPr>
            </w:pPr>
            <w:r>
              <w:rPr>
                <w:rFonts w:ascii="ARIAL" w:hAnsi="ARIAL"/>
              </w:rPr>
              <w:t>1,536,473</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5,477 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322,869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rFonts w:ascii="ARIAL" w:hAnsi="ARIAL"/>
              </w:rPr>
            </w:pPr>
            <w:r>
              <w:rPr>
                <w:rFonts w:ascii="ARIAL" w:hAnsi="ARIAL"/>
              </w:rPr>
              <w:t>19,169 </w:t>
            </w:r>
          </w:p>
        </w:tc>
        <w:tc>
          <w:tcPr>
            <w:tcW w:w="365" w:type="dxa"/>
            <w:tcBorders/>
            <w:shd w:fill="auto" w:val="clear"/>
            <w:vAlign w:val="bottom"/>
          </w:tcPr>
          <w:p>
            <w:pPr>
              <w:pStyle w:val="TableContents"/>
              <w:spacing w:before="0" w:after="283"/>
              <w:rPr>
                <w:rFonts w:ascii="ARIAL" w:hAnsi="ARIAL"/>
              </w:rPr>
            </w:pPr>
            <w:r>
              <w:rPr>
                <w:rFonts w:ascii="ARIAL" w:hAnsi="ARIAL"/>
              </w:rPr>
              <w:t>(4)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right"/>
              <w:rPr>
                <w:rFonts w:ascii="ARIAL" w:hAnsi="ARIAL"/>
              </w:rPr>
            </w:pPr>
            <w:r>
              <w:rPr>
                <w:rFonts w:ascii="ARIAL" w:hAnsi="ARIAL"/>
              </w:rPr>
              <w:t>1,130,013</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7,078 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417,248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sz w:val="4"/>
                <w:szCs w:val="4"/>
              </w:rPr>
            </w:pPr>
            <w:r>
              <w:rPr>
                <w:sz w:val="4"/>
                <w:szCs w:val="4"/>
              </w:rPr>
            </w:r>
          </w:p>
        </w:tc>
        <w:tc>
          <w:tcPr>
            <w:tcW w:w="1039" w:type="dxa"/>
            <w:tcBorders/>
            <w:shd w:fill="auto" w:val="clear"/>
            <w:vAlign w:val="bottom"/>
          </w:tcPr>
          <w:p>
            <w:pPr>
              <w:pStyle w:val="TableContents"/>
              <w:spacing w:before="0" w:after="283"/>
              <w:rPr>
                <w:sz w:val="4"/>
                <w:szCs w:val="4"/>
              </w:rPr>
            </w:pPr>
            <w:r>
              <w:rPr>
                <w:sz w:val="4"/>
                <w:szCs w:val="4"/>
              </w:rPr>
            </w:r>
          </w:p>
        </w:tc>
        <w:tc>
          <w:tcPr>
            <w:tcW w:w="36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sz w:val="4"/>
                <w:szCs w:val="4"/>
              </w:rPr>
            </w:pPr>
            <w:r>
              <w:rPr>
                <w:sz w:val="4"/>
                <w:szCs w:val="4"/>
              </w:rPr>
            </w:r>
          </w:p>
        </w:tc>
        <w:tc>
          <w:tcPr>
            <w:tcW w:w="145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162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56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3/01/2020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75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59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2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2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1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365"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76" w:type="dxa"/>
            <w:tcBorders>
              <w:bottom w:val="single" w:sz="2" w:space="0" w:color="999999"/>
            </w:tcBorders>
            <w:shd w:fill="auto" w:val="clear"/>
            <w:tcMar>
              <w:bottom w:w="28" w:type="dxa"/>
            </w:tcMar>
            <w:vAlign w:val="bottom"/>
          </w:tcPr>
          <w:p>
            <w:pPr>
              <w:pStyle w:val="TableContents"/>
              <w:spacing w:before="0" w:after="283"/>
              <w:rPr/>
            </w:pPr>
            <w:r>
              <w:rPr/>
              <w:t> </w:t>
            </w:r>
          </w:p>
        </w:tc>
        <w:tc>
          <w:tcPr>
            <w:tcW w:w="1039"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16,515 </w:t>
            </w:r>
          </w:p>
        </w:tc>
        <w:tc>
          <w:tcPr>
            <w:tcW w:w="365"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(6)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0" w:type="dxa"/>
            <w:tcBorders>
              <w:bottom w:val="single" w:sz="2" w:space="0" w:color="999999"/>
            </w:tcBorders>
            <w:shd w:fill="auto" w:val="clear"/>
            <w:tcMar>
              <w:bottom w:w="28" w:type="dxa"/>
            </w:tcMar>
            <w:vAlign w:val="bottom"/>
          </w:tcPr>
          <w:p>
            <w:pPr>
              <w:pStyle w:val="TableContents"/>
              <w:spacing w:before="0" w:after="283"/>
              <w:rPr/>
            </w:pPr>
            <w:r>
              <w:rPr/>
              <w:t> </w:t>
            </w:r>
          </w:p>
        </w:tc>
        <w:tc>
          <w:tcPr>
            <w:tcW w:w="145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973,559</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625" w:type="dxa"/>
            <w:tcBorders/>
            <w:shd w:fill="auto" w:val="clear"/>
          </w:tcPr>
          <w:p>
            <w:pPr>
              <w:pStyle w:val="TableContents"/>
              <w:spacing w:before="0" w:after="0"/>
              <w:rPr>
                <w:rFonts w:ascii="arial" w:hAnsi="arial"/>
                <w:sz w:val="16"/>
              </w:rPr>
            </w:pPr>
            <w:r>
              <w:rPr>
                <w:rFonts w:ascii="arial" w:hAnsi="arial"/>
                <w:sz w:val="16"/>
              </w:rPr>
              <w:t>John D. Kelly</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111 </w:t>
            </w:r>
          </w:p>
        </w:tc>
        <w:tc>
          <w:tcPr>
            <w:tcW w:w="365" w:type="dxa"/>
            <w:tcBorders/>
            <w:shd w:fill="auto" w:val="clear"/>
            <w:vAlign w:val="bottom"/>
          </w:tcPr>
          <w:p>
            <w:pPr>
              <w:pStyle w:val="TableContents"/>
              <w:spacing w:before="0" w:after="283"/>
              <w:rPr>
                <w:rFonts w:ascii="ARIAL" w:hAnsi="ARIAL"/>
              </w:rPr>
            </w:pPr>
            <w:r>
              <w:rPr>
                <w:rFonts w:ascii="ARIAL" w:hAnsi="ARIAL"/>
              </w:rPr>
              <w:t>(1)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6,543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1,362 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80,290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rFonts w:ascii="ARIAL" w:hAnsi="ARIAL"/>
              </w:rPr>
            </w:pPr>
            <w:r>
              <w:rPr>
                <w:rFonts w:ascii="ARIAL" w:hAnsi="ARIAL"/>
              </w:rPr>
              <w:t>9,532 </w:t>
            </w:r>
          </w:p>
        </w:tc>
        <w:tc>
          <w:tcPr>
            <w:tcW w:w="365" w:type="dxa"/>
            <w:tcBorders/>
            <w:shd w:fill="auto" w:val="clear"/>
            <w:vAlign w:val="bottom"/>
          </w:tcPr>
          <w:p>
            <w:pPr>
              <w:pStyle w:val="TableContents"/>
              <w:spacing w:before="0" w:after="283"/>
              <w:rPr>
                <w:rFonts w:ascii="ARIAL" w:hAnsi="ARIAL"/>
              </w:rPr>
            </w:pPr>
            <w:r>
              <w:rPr>
                <w:rFonts w:ascii="ARIAL" w:hAnsi="ARIAL"/>
              </w:rPr>
              <w:t>(3)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right"/>
              <w:rPr>
                <w:rFonts w:ascii="ARIAL" w:hAnsi="ARIAL"/>
              </w:rPr>
            </w:pPr>
            <w:r>
              <w:rPr>
                <w:rFonts w:ascii="ARIAL" w:hAnsi="ARIAL"/>
              </w:rPr>
              <w:t>561,911</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2,880 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169,776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rFonts w:ascii="ARIAL" w:hAnsi="ARIAL"/>
              </w:rPr>
            </w:pPr>
            <w:r>
              <w:rPr>
                <w:rFonts w:ascii="ARIAL" w:hAnsi="ARIAL"/>
              </w:rPr>
              <w:t>10,077 </w:t>
            </w:r>
          </w:p>
        </w:tc>
        <w:tc>
          <w:tcPr>
            <w:tcW w:w="365" w:type="dxa"/>
            <w:tcBorders/>
            <w:shd w:fill="auto" w:val="clear"/>
            <w:vAlign w:val="bottom"/>
          </w:tcPr>
          <w:p>
            <w:pPr>
              <w:pStyle w:val="TableContents"/>
              <w:spacing w:before="0" w:after="283"/>
              <w:rPr>
                <w:rFonts w:ascii="ARIAL" w:hAnsi="ARIAL"/>
              </w:rPr>
            </w:pPr>
            <w:r>
              <w:rPr>
                <w:rFonts w:ascii="ARIAL" w:hAnsi="ARIAL"/>
              </w:rPr>
              <w:t>(4)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right"/>
              <w:rPr>
                <w:rFonts w:ascii="ARIAL" w:hAnsi="ARIAL"/>
              </w:rPr>
            </w:pPr>
            <w:r>
              <w:rPr>
                <w:rFonts w:ascii="ARIAL" w:hAnsi="ARIAL"/>
              </w:rPr>
              <w:t>594,039</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3,981 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234,680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12,639 </w:t>
            </w:r>
          </w:p>
        </w:tc>
        <w:tc>
          <w:tcPr>
            <w:tcW w:w="365" w:type="dxa"/>
            <w:tcBorders/>
            <w:shd w:fill="auto" w:val="clear"/>
            <w:vAlign w:val="bottom"/>
          </w:tcPr>
          <w:p>
            <w:pPr>
              <w:pStyle w:val="TableContents"/>
              <w:spacing w:before="0" w:after="283"/>
              <w:rPr>
                <w:rFonts w:ascii="ARIAL" w:hAnsi="ARIAL"/>
              </w:rPr>
            </w:pPr>
            <w:r>
              <w:rPr>
                <w:rFonts w:ascii="ARIAL" w:hAnsi="ARIAL"/>
              </w:rPr>
              <w:t>(7)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745,069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56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3/01/2020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75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59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2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2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1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365"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76" w:type="dxa"/>
            <w:tcBorders>
              <w:bottom w:val="single" w:sz="2" w:space="0" w:color="999999"/>
            </w:tcBorders>
            <w:shd w:fill="auto" w:val="clear"/>
            <w:tcMar>
              <w:bottom w:w="28" w:type="dxa"/>
            </w:tcMar>
            <w:vAlign w:val="bottom"/>
          </w:tcPr>
          <w:p>
            <w:pPr>
              <w:pStyle w:val="TableContents"/>
              <w:spacing w:before="0" w:after="283"/>
              <w:rPr/>
            </w:pPr>
            <w:r>
              <w:rPr/>
              <w:t> </w:t>
            </w:r>
          </w:p>
        </w:tc>
        <w:tc>
          <w:tcPr>
            <w:tcW w:w="1039"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9,290 </w:t>
            </w:r>
          </w:p>
        </w:tc>
        <w:tc>
          <w:tcPr>
            <w:tcW w:w="365"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(6)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0" w:type="dxa"/>
            <w:tcBorders>
              <w:bottom w:val="single" w:sz="2" w:space="0" w:color="999999"/>
            </w:tcBorders>
            <w:shd w:fill="auto" w:val="clear"/>
            <w:tcMar>
              <w:bottom w:w="28" w:type="dxa"/>
            </w:tcMar>
            <w:vAlign w:val="bottom"/>
          </w:tcPr>
          <w:p>
            <w:pPr>
              <w:pStyle w:val="TableContents"/>
              <w:spacing w:before="0" w:after="283"/>
              <w:rPr/>
            </w:pPr>
            <w:r>
              <w:rPr/>
              <w:t> </w:t>
            </w:r>
          </w:p>
        </w:tc>
        <w:tc>
          <w:tcPr>
            <w:tcW w:w="145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547,646</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625" w:type="dxa"/>
            <w:tcBorders/>
            <w:shd w:fill="auto" w:val="clear"/>
          </w:tcPr>
          <w:p>
            <w:pPr>
              <w:pStyle w:val="TableContents"/>
              <w:spacing w:before="0" w:after="0"/>
              <w:rPr>
                <w:rFonts w:ascii="arial" w:hAnsi="arial"/>
                <w:sz w:val="16"/>
              </w:rPr>
            </w:pPr>
            <w:r>
              <w:rPr>
                <w:rFonts w:ascii="arial" w:hAnsi="arial"/>
                <w:sz w:val="16"/>
              </w:rPr>
              <w:t>Ernest W. Torain, Jr.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4/01/2020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2,237 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131,871</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4/01/2020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2,301 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135,644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56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4/01/2020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75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59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2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2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15"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365"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9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76" w:type="dxa"/>
            <w:tcBorders>
              <w:bottom w:val="single" w:sz="2" w:space="0" w:color="999999"/>
            </w:tcBorders>
            <w:shd w:fill="auto" w:val="clear"/>
            <w:tcMar>
              <w:bottom w:w="28" w:type="dxa"/>
            </w:tcMar>
            <w:vAlign w:val="bottom"/>
          </w:tcPr>
          <w:p>
            <w:pPr>
              <w:pStyle w:val="TableContents"/>
              <w:spacing w:before="0" w:after="283"/>
              <w:rPr/>
            </w:pPr>
            <w:r>
              <w:rPr/>
              <w:t> </w:t>
            </w:r>
          </w:p>
        </w:tc>
        <w:tc>
          <w:tcPr>
            <w:tcW w:w="1039"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5,220 </w:t>
            </w:r>
          </w:p>
        </w:tc>
        <w:tc>
          <w:tcPr>
            <w:tcW w:w="365"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(6)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80" w:type="dxa"/>
            <w:tcBorders>
              <w:bottom w:val="single" w:sz="2" w:space="0" w:color="999999"/>
            </w:tcBorders>
            <w:shd w:fill="auto" w:val="clear"/>
            <w:tcMar>
              <w:bottom w:w="28" w:type="dxa"/>
            </w:tcMar>
            <w:vAlign w:val="bottom"/>
          </w:tcPr>
          <w:p>
            <w:pPr>
              <w:pStyle w:val="TableContents"/>
              <w:spacing w:before="0" w:after="283"/>
              <w:rPr/>
            </w:pPr>
            <w:r>
              <w:rPr/>
              <w:t> </w:t>
            </w:r>
          </w:p>
        </w:tc>
        <w:tc>
          <w:tcPr>
            <w:tcW w:w="1455"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307,719</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625" w:type="dxa"/>
            <w:tcBorders/>
            <w:shd w:fill="auto" w:val="clear"/>
          </w:tcPr>
          <w:p>
            <w:pPr>
              <w:pStyle w:val="TableContents"/>
              <w:spacing w:before="0" w:after="0"/>
              <w:rPr>
                <w:rFonts w:ascii="arial" w:hAnsi="arial"/>
                <w:sz w:val="16"/>
              </w:rPr>
            </w:pPr>
            <w:r>
              <w:rPr>
                <w:rFonts w:ascii="arial" w:hAnsi="arial"/>
                <w:sz w:val="16"/>
              </w:rPr>
              <w:t>Diane E. Ratekin</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1,305 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76,930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rFonts w:ascii="ARIAL" w:hAnsi="ARIAL"/>
              </w:rPr>
            </w:pPr>
            <w:r>
              <w:rPr>
                <w:rFonts w:ascii="ARIAL" w:hAnsi="ARIAL"/>
              </w:rPr>
              <w:t>9,135 </w:t>
            </w:r>
          </w:p>
        </w:tc>
        <w:tc>
          <w:tcPr>
            <w:tcW w:w="365" w:type="dxa"/>
            <w:tcBorders/>
            <w:shd w:fill="auto" w:val="clear"/>
            <w:vAlign w:val="bottom"/>
          </w:tcPr>
          <w:p>
            <w:pPr>
              <w:pStyle w:val="TableContents"/>
              <w:spacing w:before="0" w:after="283"/>
              <w:rPr>
                <w:rFonts w:ascii="ARIAL" w:hAnsi="ARIAL"/>
              </w:rPr>
            </w:pPr>
            <w:r>
              <w:rPr>
                <w:rFonts w:ascii="ARIAL" w:hAnsi="ARIAL"/>
              </w:rPr>
              <w:t>(3)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right"/>
              <w:rPr>
                <w:rFonts w:ascii="ARIAL" w:hAnsi="ARIAL"/>
              </w:rPr>
            </w:pPr>
            <w:r>
              <w:rPr>
                <w:rFonts w:ascii="ARIAL" w:hAnsi="ARIAL"/>
              </w:rPr>
              <w:t>538,508</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right"/>
              <w:rPr>
                <w:rFonts w:ascii="ARIAL" w:hAnsi="ARIAL"/>
              </w:rPr>
            </w:pPr>
            <w:r>
              <w:rPr>
                <w:rFonts w:ascii="ARIAL" w:hAnsi="ARIAL"/>
              </w:rPr>
              <w:t>1,920 </w:t>
            </w:r>
          </w:p>
        </w:tc>
        <w:tc>
          <w:tcPr>
            <w:tcW w:w="365" w:type="dxa"/>
            <w:tcBorders/>
            <w:shd w:fill="auto" w:val="clear"/>
            <w:vAlign w:val="bottom"/>
          </w:tcPr>
          <w:p>
            <w:pPr>
              <w:pStyle w:val="TableContents"/>
              <w:spacing w:before="0" w:after="283"/>
              <w:rPr>
                <w:rFonts w:ascii="ARIAL" w:hAnsi="ARIAL"/>
              </w:rPr>
            </w:pPr>
            <w:r>
              <w:rPr>
                <w:rFonts w:ascii="ARIAL" w:hAnsi="ARIAL"/>
              </w:rPr>
              <w:t>(2)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right"/>
              <w:rPr>
                <w:rFonts w:ascii="ARIAL" w:hAnsi="ARIAL"/>
              </w:rPr>
            </w:pPr>
            <w:r>
              <w:rPr>
                <w:rFonts w:ascii="ARIAL" w:hAnsi="ARIAL"/>
              </w:rPr>
              <w:t>113,184</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r>
      <w:tr>
        <w:trPr/>
        <w:tc>
          <w:tcPr>
            <w:tcW w:w="162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560" w:type="dxa"/>
            <w:tcBorders/>
            <w:shd w:fill="auto" w:val="clear"/>
            <w:vAlign w:val="bottom"/>
          </w:tcPr>
          <w:p>
            <w:pPr>
              <w:pStyle w:val="TableContents"/>
              <w:spacing w:before="0" w:after="283"/>
              <w:jc w:val="right"/>
              <w:rPr>
                <w:rFonts w:ascii="ARIAL" w:hAnsi="ARIAL"/>
              </w:rPr>
            </w:pPr>
            <w:r>
              <w:rPr>
                <w:rFonts w:ascii="ARIAL" w:hAnsi="ARIAL"/>
              </w:rPr>
              <w:t>3/01/2019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5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595"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2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rFonts w:ascii="ARIAL" w:hAnsi="ARIAL"/>
              </w:rPr>
            </w:pPr>
            <w:r>
              <w:rPr>
                <w:rFonts w:ascii="ARIAL" w:hAnsi="ARIAL"/>
              </w:rPr>
              <w:t></w:t>
            </w:r>
          </w:p>
        </w:tc>
        <w:tc>
          <w:tcPr>
            <w:tcW w:w="36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890" w:type="dxa"/>
            <w:tcBorders/>
            <w:shd w:fill="auto" w:val="clear"/>
            <w:vAlign w:val="bottom"/>
          </w:tcPr>
          <w:p>
            <w:pPr>
              <w:pStyle w:val="TableContents"/>
              <w:spacing w:before="0" w:after="283"/>
              <w:jc w:val="center"/>
              <w:rPr>
                <w:rFonts w:ascii="ARIAL" w:hAnsi="ARIAL"/>
              </w:rPr>
            </w:pPr>
            <w:r>
              <w:rPr>
                <w:rFonts w:ascii="ARIAL" w:hAnsi="ARIAL"/>
              </w:rPr>
              <w:t></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76" w:type="dxa"/>
            <w:tcBorders/>
            <w:shd w:fill="auto" w:val="clear"/>
            <w:vAlign w:val="bottom"/>
          </w:tcPr>
          <w:p>
            <w:pPr>
              <w:pStyle w:val="TableContents"/>
              <w:spacing w:before="0" w:after="283"/>
              <w:rPr/>
            </w:pPr>
            <w:r>
              <w:rPr/>
              <w:t> </w:t>
            </w:r>
          </w:p>
        </w:tc>
        <w:tc>
          <w:tcPr>
            <w:tcW w:w="1039" w:type="dxa"/>
            <w:tcBorders/>
            <w:shd w:fill="auto" w:val="clear"/>
            <w:vAlign w:val="bottom"/>
          </w:tcPr>
          <w:p>
            <w:pPr>
              <w:pStyle w:val="TableContents"/>
              <w:spacing w:before="0" w:after="283"/>
              <w:jc w:val="right"/>
              <w:rPr>
                <w:rFonts w:ascii="ARIAL" w:hAnsi="ARIAL"/>
              </w:rPr>
            </w:pPr>
            <w:r>
              <w:rPr>
                <w:rFonts w:ascii="ARIAL" w:hAnsi="ARIAL"/>
              </w:rPr>
              <w:t>6,718 </w:t>
            </w:r>
          </w:p>
        </w:tc>
        <w:tc>
          <w:tcPr>
            <w:tcW w:w="365" w:type="dxa"/>
            <w:tcBorders/>
            <w:shd w:fill="auto" w:val="clear"/>
            <w:vAlign w:val="bottom"/>
          </w:tcPr>
          <w:p>
            <w:pPr>
              <w:pStyle w:val="TableContents"/>
              <w:spacing w:before="0" w:after="283"/>
              <w:rPr>
                <w:rFonts w:ascii="ARIAL" w:hAnsi="ARIAL"/>
              </w:rPr>
            </w:pPr>
            <w:r>
              <w:rPr>
                <w:rFonts w:ascii="ARIAL" w:hAnsi="ARIAL"/>
              </w:rPr>
              <w:t>(5) </w:t>
            </w:r>
          </w:p>
        </w:tc>
        <w:tc>
          <w:tcPr>
            <w:tcW w:w="60" w:type="dxa"/>
            <w:tcBorders/>
            <w:shd w:fill="auto" w:val="clear"/>
            <w:vAlign w:val="bottom"/>
          </w:tcPr>
          <w:p>
            <w:pPr>
              <w:pStyle w:val="TableContents"/>
              <w:spacing w:before="0" w:after="283"/>
              <w:rPr/>
            </w:pPr>
            <w:r>
              <w:rPr/>
              <w:t> </w:t>
            </w:r>
          </w:p>
        </w:tc>
        <w:tc>
          <w:tcPr>
            <w:tcW w:w="80" w:type="dxa"/>
            <w:tcBorders/>
            <w:shd w:fill="auto" w:val="clear"/>
            <w:vAlign w:val="bottom"/>
          </w:tcPr>
          <w:p>
            <w:pPr>
              <w:pStyle w:val="TableContents"/>
              <w:spacing w:before="0" w:after="283"/>
              <w:rPr/>
            </w:pPr>
            <w:r>
              <w:rPr/>
              <w:t> </w:t>
            </w:r>
          </w:p>
        </w:tc>
        <w:tc>
          <w:tcPr>
            <w:tcW w:w="1455" w:type="dxa"/>
            <w:tcBorders/>
            <w:shd w:fill="auto" w:val="clear"/>
            <w:vAlign w:val="bottom"/>
          </w:tcPr>
          <w:p>
            <w:pPr>
              <w:pStyle w:val="TableContents"/>
              <w:spacing w:before="0" w:after="283"/>
              <w:jc w:val="right"/>
              <w:rPr>
                <w:rFonts w:ascii="ARIAL" w:hAnsi="ARIAL"/>
              </w:rPr>
            </w:pPr>
            <w:r>
              <w:rPr>
                <w:rFonts w:ascii="ARIAL" w:hAnsi="ARIAL"/>
              </w:rPr>
              <w:t>396,026</w:t>
            </w:r>
          </w:p>
        </w:tc>
        <w:tc>
          <w:tcPr>
            <w:tcW w:w="60" w:type="dxa"/>
            <w:tcBorders/>
            <w:shd w:fill="auto" w:val="clear"/>
            <w:vAlign w:val="bottom"/>
          </w:tcPr>
          <w:p>
            <w:pPr>
              <w:pStyle w:val="TableContents"/>
              <w:spacing w:before="0" w:after="283"/>
              <w:rPr/>
            </w:pPr>
            <w:r>
              <w:rPr/>
              <w:t> </w:t>
            </w:r>
          </w:p>
        </w:tc>
      </w:tr>
      <w:tr>
        <w:trPr/>
        <w:tc>
          <w:tcPr>
            <w:tcW w:w="1625" w:type="dxa"/>
            <w:tcBorders>
              <w:bottom w:val="single" w:sz="2" w:space="0" w:color="00548B"/>
            </w:tcBorders>
            <w:shd w:fill="auto" w:val="clear"/>
            <w:tcMar>
              <w:bottom w:w="28" w:type="dxa"/>
            </w:tcMar>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560"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3/01/2020</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755"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1595"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20"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20"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815"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2,326 </w:t>
            </w:r>
          </w:p>
        </w:tc>
        <w:tc>
          <w:tcPr>
            <w:tcW w:w="365" w:type="dxa"/>
            <w:tcBorders>
              <w:bottom w:val="single" w:sz="2" w:space="0" w:color="00548B"/>
            </w:tcBorders>
            <w:shd w:fill="auto" w:val="clear"/>
            <w:tcMar>
              <w:bottom w:w="28" w:type="dxa"/>
            </w:tcMar>
            <w:vAlign w:val="bottom"/>
          </w:tcPr>
          <w:p>
            <w:pPr>
              <w:pStyle w:val="TableContents"/>
              <w:spacing w:before="0" w:after="283"/>
              <w:rPr>
                <w:rFonts w:ascii="ARIAL" w:hAnsi="ARIAL"/>
              </w:rPr>
            </w:pPr>
            <w:r>
              <w:rPr>
                <w:rFonts w:ascii="ARIAL" w:hAnsi="ARIAL"/>
              </w:rPr>
              <w:t>(2)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890"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137,118</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76" w:type="dxa"/>
            <w:tcBorders>
              <w:bottom w:val="single" w:sz="2" w:space="0" w:color="00548B"/>
            </w:tcBorders>
            <w:shd w:fill="auto" w:val="clear"/>
            <w:tcMar>
              <w:bottom w:w="28" w:type="dxa"/>
            </w:tcMar>
            <w:vAlign w:val="bottom"/>
          </w:tcPr>
          <w:p>
            <w:pPr>
              <w:pStyle w:val="TableContents"/>
              <w:spacing w:before="0" w:after="283"/>
              <w:rPr/>
            </w:pPr>
            <w:r>
              <w:rPr/>
              <w:t> </w:t>
            </w:r>
          </w:p>
        </w:tc>
        <w:tc>
          <w:tcPr>
            <w:tcW w:w="1039"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365"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80" w:type="dxa"/>
            <w:tcBorders>
              <w:bottom w:val="single" w:sz="2" w:space="0" w:color="00548B"/>
            </w:tcBorders>
            <w:shd w:fill="auto" w:val="clear"/>
            <w:tcMar>
              <w:bottom w:w="28" w:type="dxa"/>
            </w:tcMar>
            <w:vAlign w:val="bottom"/>
          </w:tcPr>
          <w:p>
            <w:pPr>
              <w:pStyle w:val="TableContents"/>
              <w:spacing w:before="0" w:after="283"/>
              <w:rPr/>
            </w:pPr>
            <w:r>
              <w:rPr/>
              <w:t> </w:t>
            </w:r>
          </w:p>
        </w:tc>
        <w:tc>
          <w:tcPr>
            <w:tcW w:w="1455"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Consists of unvested restricted stock as of December 31, 2020 that vests 25% annually over four years from the date of grant provided the individual is still employed by Huron on the applicable vesting dates or is eligible for retirement under the Companys equity incentive plan.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Consists of unvested restricted stock as of December 31, 2020 that vests 33% annually over three years from the date of grant provided the individual is still employed by Huron on the applicable vesting date or is eligible for retirement under the Companys equity incentive plan.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Consists of 2018 grant of PSUs that vest based on performance for the 2018-2020 performance period. Actual payouts may range from 0% to 200% of target with 25% paid for threshold performance. The amount reflected in the table equals the target amount. The actual amount earned was 102% of target and 100% of the earned amount vested on March 1, 2021.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Consists of 2019 grant of PSUs that vest based on performance for the 2019-2021 performance period. Actual payouts may range from 0% to 200% of target with 25% paid for threshold performance. The amount reflected in the table equals the target amount. Once the 2019-2021 performance period is complete, 100% of the final award vests on March 1, 2022.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(5)</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Consists of 2019 grant of PSUs that will vest based on performance for the 2019-2021 performance period. Pursuant to Ms. Ratekins retirement agreement, the PSUs will be pro-rated based on the time she was employed during the 2019-2021 performance period. Actual payouts may range from 0% to 200% of target with 25% paid for threshold performance. The amount reflected in the table equals the target amount. Once the 2019-2021 performance period is complete, 100% of the final award (after pro-ration) vests on March 1, 2022.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(6)</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Consists of 2020 grant of PSUs that vest based on performance for the 2020-2022 performance period. Actual payouts may range from 0% to 200% of target with 25% paid for threshold performance. The amount reflected in the table equals the target amount. Once the 2020-2022 performance period is complete, 100% of the final award vests on March 1, 2023.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(7)</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Consists of unvested restricted stock as of December 31, 2020 that will vest 100% four years from the date of grant provided the individual is still employed by Huron on the applicable vesting date. </w:t>
            </w:r>
          </w:p>
        </w:tc>
      </w:tr>
    </w:tbl>
    <w:p>
      <w:pPr>
        <w:pStyle w:val="TextBody"/>
        <w:spacing w:before="200" w:after="0"/>
        <w:jc w:val="both"/>
        <w:rPr>
          <w:rFonts w:ascii="arial" w:hAnsi="arial"/>
          <w:b/>
          <w:color w:val="00548B"/>
          <w:sz w:val="20"/>
        </w:rPr>
      </w:pPr>
      <w:bookmarkStart w:id="29" w:name="toc170561_27"/>
      <w:bookmarkEnd w:id="29"/>
      <w:r>
        <w:rPr>
          <w:rFonts w:ascii="arial" w:hAnsi="arial"/>
          <w:b/>
          <w:color w:val="00548B"/>
          <w:sz w:val="20"/>
        </w:rPr>
        <w:t>2020 O</w:t>
      </w:r>
      <w:r>
        <w:rPr>
          <w:rFonts w:ascii="arial" w:hAnsi="arial"/>
          <w:b/>
          <w:color w:val="00548B"/>
          <w:sz w:val="14"/>
        </w:rPr>
        <w:t>PTION</w:t>
      </w:r>
      <w:r>
        <w:rPr>
          <w:rFonts w:ascii="arial" w:hAnsi="arial"/>
          <w:b/>
          <w:color w:val="00548B"/>
          <w:sz w:val="20"/>
        </w:rPr>
        <w:t xml:space="preserve"> E</w:t>
      </w:r>
      <w:r>
        <w:rPr>
          <w:rFonts w:ascii="arial" w:hAnsi="arial"/>
          <w:b/>
          <w:color w:val="00548B"/>
          <w:sz w:val="14"/>
        </w:rPr>
        <w:t>XERCISES</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S</w:t>
      </w:r>
      <w:r>
        <w:rPr>
          <w:rFonts w:ascii="arial" w:hAnsi="arial"/>
          <w:b/>
          <w:color w:val="00548B"/>
          <w:sz w:val="14"/>
        </w:rPr>
        <w:t>TOCK</w:t>
      </w:r>
      <w:r>
        <w:rPr>
          <w:rFonts w:ascii="arial" w:hAnsi="arial"/>
          <w:b/>
          <w:color w:val="00548B"/>
          <w:sz w:val="20"/>
        </w:rPr>
        <w:t xml:space="preserve"> V</w:t>
      </w:r>
      <w:r>
        <w:rPr>
          <w:rFonts w:ascii="arial" w:hAnsi="arial"/>
          <w:b/>
          <w:color w:val="00548B"/>
          <w:sz w:val="14"/>
        </w:rPr>
        <w:t>ESTED</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following table sets forth certain information concerning stock option exercises and restricted stock vested during 2020 for each named executive officer.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615"/>
        <w:gridCol w:w="192"/>
        <w:gridCol w:w="1747"/>
        <w:gridCol w:w="221"/>
        <w:gridCol w:w="1800"/>
        <w:gridCol w:w="60"/>
        <w:gridCol w:w="60"/>
        <w:gridCol w:w="60"/>
        <w:gridCol w:w="227"/>
        <w:gridCol w:w="221"/>
        <w:gridCol w:w="127"/>
        <w:gridCol w:w="1606"/>
        <w:gridCol w:w="168"/>
        <w:gridCol w:w="221"/>
        <w:gridCol w:w="89"/>
        <w:gridCol w:w="1614"/>
        <w:gridCol w:w="177"/>
      </w:tblGrid>
      <w:tr>
        <w:trPr/>
        <w:tc>
          <w:tcPr>
            <w:tcW w:w="1615"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1747" w:type="dxa"/>
            <w:tcBorders/>
            <w:shd w:fill="auto" w:val="clear"/>
            <w:vAlign w:val="center"/>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80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227"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127" w:type="dxa"/>
            <w:tcBorders/>
            <w:shd w:fill="auto" w:val="clear"/>
            <w:vAlign w:val="center"/>
          </w:tcPr>
          <w:p>
            <w:pPr>
              <w:pStyle w:val="TableContents"/>
              <w:spacing w:before="0" w:after="283"/>
              <w:rPr>
                <w:sz w:val="4"/>
                <w:szCs w:val="4"/>
              </w:rPr>
            </w:pPr>
            <w:r>
              <w:rPr>
                <w:sz w:val="4"/>
                <w:szCs w:val="4"/>
              </w:rPr>
            </w:r>
          </w:p>
        </w:tc>
        <w:tc>
          <w:tcPr>
            <w:tcW w:w="1606" w:type="dxa"/>
            <w:tcBorders/>
            <w:shd w:fill="auto" w:val="clear"/>
            <w:vAlign w:val="center"/>
          </w:tcPr>
          <w:p>
            <w:pPr>
              <w:pStyle w:val="TableContents"/>
              <w:spacing w:before="0" w:after="283"/>
              <w:rPr>
                <w:sz w:val="4"/>
                <w:szCs w:val="4"/>
              </w:rPr>
            </w:pPr>
            <w:r>
              <w:rPr>
                <w:sz w:val="4"/>
                <w:szCs w:val="4"/>
              </w:rPr>
            </w:r>
          </w:p>
        </w:tc>
        <w:tc>
          <w:tcPr>
            <w:tcW w:w="168" w:type="dxa"/>
            <w:tcBorders/>
            <w:shd w:fill="auto" w:val="clear"/>
            <w:vAlign w:val="bottom"/>
          </w:tcPr>
          <w:p>
            <w:pPr>
              <w:pStyle w:val="TableContents"/>
              <w:spacing w:before="0" w:after="283"/>
              <w:rPr>
                <w:sz w:val="4"/>
                <w:szCs w:val="4"/>
              </w:rPr>
            </w:pPr>
            <w:r>
              <w:rPr>
                <w:sz w:val="4"/>
                <w:szCs w:val="4"/>
              </w:rPr>
            </w:r>
          </w:p>
        </w:tc>
        <w:tc>
          <w:tcPr>
            <w:tcW w:w="221" w:type="dxa"/>
            <w:tcBorders/>
            <w:shd w:fill="auto" w:val="clear"/>
            <w:vAlign w:val="bottom"/>
          </w:tcPr>
          <w:p>
            <w:pPr>
              <w:pStyle w:val="TableContents"/>
              <w:spacing w:before="0" w:after="283"/>
              <w:rPr>
                <w:sz w:val="4"/>
                <w:szCs w:val="4"/>
              </w:rPr>
            </w:pPr>
            <w:r>
              <w:rPr>
                <w:sz w:val="4"/>
                <w:szCs w:val="4"/>
              </w:rPr>
            </w:r>
          </w:p>
        </w:tc>
        <w:tc>
          <w:tcPr>
            <w:tcW w:w="89" w:type="dxa"/>
            <w:tcBorders/>
            <w:shd w:fill="auto" w:val="clear"/>
            <w:vAlign w:val="center"/>
          </w:tcPr>
          <w:p>
            <w:pPr>
              <w:pStyle w:val="TableContents"/>
              <w:spacing w:before="0" w:after="283"/>
              <w:rPr>
                <w:sz w:val="4"/>
                <w:szCs w:val="4"/>
              </w:rPr>
            </w:pPr>
            <w:r>
              <w:rPr>
                <w:sz w:val="4"/>
                <w:szCs w:val="4"/>
              </w:rPr>
            </w:r>
          </w:p>
        </w:tc>
        <w:tc>
          <w:tcPr>
            <w:tcW w:w="1614" w:type="dxa"/>
            <w:tcBorders/>
            <w:shd w:fill="auto" w:val="clear"/>
            <w:vAlign w:val="center"/>
          </w:tcPr>
          <w:p>
            <w:pPr>
              <w:pStyle w:val="TableContents"/>
              <w:spacing w:before="0" w:after="283"/>
              <w:rPr>
                <w:sz w:val="4"/>
                <w:szCs w:val="4"/>
              </w:rPr>
            </w:pPr>
            <w:r>
              <w:rPr>
                <w:sz w:val="4"/>
                <w:szCs w:val="4"/>
              </w:rPr>
            </w:r>
          </w:p>
        </w:tc>
        <w:tc>
          <w:tcPr>
            <w:tcW w:w="177" w:type="dxa"/>
            <w:tcBorders/>
            <w:shd w:fill="auto" w:val="clear"/>
            <w:vAlign w:val="bottom"/>
          </w:tcPr>
          <w:p>
            <w:pPr>
              <w:pStyle w:val="TableContents"/>
              <w:spacing w:before="0" w:after="283"/>
              <w:rPr>
                <w:sz w:val="4"/>
                <w:szCs w:val="4"/>
              </w:rPr>
            </w:pPr>
            <w:r>
              <w:rPr>
                <w:sz w:val="4"/>
                <w:szCs w:val="4"/>
              </w:rPr>
            </w:r>
          </w:p>
        </w:tc>
      </w:tr>
      <w:tr>
        <w:trPr/>
        <w:tc>
          <w:tcPr>
            <w:tcW w:w="1615" w:type="dxa"/>
            <w:tcBorders/>
            <w:shd w:fill="00548B" w:val="clear"/>
            <w:vAlign w:val="bottom"/>
          </w:tcPr>
          <w:p>
            <w:pPr>
              <w:pStyle w:val="TableContents"/>
              <w:spacing w:before="0" w:after="283"/>
              <w:rPr/>
            </w:pPr>
            <w:r>
              <w:rPr/>
              <w:t> </w:t>
            </w:r>
          </w:p>
        </w:tc>
        <w:tc>
          <w:tcPr>
            <w:tcW w:w="192" w:type="dxa"/>
            <w:tcBorders>
              <w:bottom w:val="single" w:sz="2" w:space="0" w:color="D8D8D8"/>
            </w:tcBorders>
            <w:shd w:fill="00548B" w:val="clear"/>
            <w:tcMar>
              <w:bottom w:w="28" w:type="dxa"/>
            </w:tcMar>
            <w:vAlign w:val="bottom"/>
          </w:tcPr>
          <w:p>
            <w:pPr>
              <w:pStyle w:val="TableContents"/>
              <w:spacing w:before="0" w:after="283"/>
              <w:rPr/>
            </w:pPr>
            <w:r>
              <w:rPr/>
              <w:t>  </w:t>
            </w:r>
          </w:p>
        </w:tc>
        <w:tc>
          <w:tcPr>
            <w:tcW w:w="3768" w:type="dxa"/>
            <w:gridSpan w:val="3"/>
            <w:tcBorders>
              <w:bottom w:val="single" w:sz="2" w:space="0" w:color="D8D8D8"/>
            </w:tcBorders>
            <w:shd w:fill="00548B" w:val="clear"/>
            <w:tcMar>
              <w:bottom w:w="28" w:type="dxa"/>
            </w:tcMar>
            <w:vAlign w:val="bottom"/>
          </w:tcPr>
          <w:p>
            <w:pPr>
              <w:pStyle w:val="TableContents"/>
              <w:spacing w:before="0" w:after="283"/>
              <w:jc w:val="center"/>
              <w:rPr>
                <w:b/>
                <w:color w:val="D8D8D8"/>
              </w:rPr>
            </w:pPr>
            <w:r>
              <w:rPr>
                <w:b/>
                <w:color w:val="D8D8D8"/>
              </w:rPr>
              <w:t>Option Exercises</w:t>
            </w:r>
          </w:p>
        </w:tc>
        <w:tc>
          <w:tcPr>
            <w:tcW w:w="60" w:type="dxa"/>
            <w:tcBorders/>
            <w:shd w:fill="00548B" w:val="clear"/>
            <w:vAlign w:val="bottom"/>
          </w:tcPr>
          <w:p>
            <w:pPr>
              <w:pStyle w:val="TableContents"/>
              <w:spacing w:before="0" w:after="283"/>
              <w:rPr/>
            </w:pPr>
            <w:r>
              <w:rPr/>
              <w:t> </w:t>
            </w:r>
          </w:p>
        </w:tc>
        <w:tc>
          <w:tcPr>
            <w:tcW w:w="120" w:type="dxa"/>
            <w:gridSpan w:val="2"/>
            <w:tcBorders/>
            <w:shd w:fill="00548B" w:val="clear"/>
            <w:vAlign w:val="bottom"/>
          </w:tcPr>
          <w:p>
            <w:pPr>
              <w:pStyle w:val="TableContents"/>
              <w:spacing w:before="0" w:after="283"/>
              <w:rPr/>
            </w:pPr>
            <w:r>
              <w:rPr/>
              <w:t> </w:t>
            </w:r>
          </w:p>
        </w:tc>
        <w:tc>
          <w:tcPr>
            <w:tcW w:w="227" w:type="dxa"/>
            <w:tcBorders/>
            <w:shd w:fill="00548B" w:val="clear"/>
            <w:vAlign w:val="bottom"/>
          </w:tcPr>
          <w:p>
            <w:pPr>
              <w:pStyle w:val="TableContents"/>
              <w:spacing w:before="0" w:after="283"/>
              <w:rPr/>
            </w:pPr>
            <w:r>
              <w:rPr/>
              <w:t> </w:t>
            </w:r>
          </w:p>
        </w:tc>
        <w:tc>
          <w:tcPr>
            <w:tcW w:w="221" w:type="dxa"/>
            <w:tcBorders>
              <w:bottom w:val="single" w:sz="2" w:space="0" w:color="D8D8D8"/>
            </w:tcBorders>
            <w:shd w:fill="00548B" w:val="clear"/>
            <w:tcMar>
              <w:bottom w:w="28" w:type="dxa"/>
            </w:tcMar>
            <w:vAlign w:val="bottom"/>
          </w:tcPr>
          <w:p>
            <w:pPr>
              <w:pStyle w:val="TableContents"/>
              <w:spacing w:before="0" w:after="283"/>
              <w:rPr/>
            </w:pPr>
            <w:r>
              <w:rPr/>
              <w:t>  </w:t>
            </w:r>
          </w:p>
        </w:tc>
        <w:tc>
          <w:tcPr>
            <w:tcW w:w="3825" w:type="dxa"/>
            <w:gridSpan w:val="6"/>
            <w:tcBorders>
              <w:bottom w:val="single" w:sz="2" w:space="0" w:color="D8D8D8"/>
            </w:tcBorders>
            <w:shd w:fill="00548B" w:val="clear"/>
            <w:tcMar>
              <w:bottom w:w="28" w:type="dxa"/>
            </w:tcMar>
            <w:vAlign w:val="bottom"/>
          </w:tcPr>
          <w:p>
            <w:pPr>
              <w:pStyle w:val="TableContents"/>
              <w:spacing w:before="0" w:after="283"/>
              <w:jc w:val="center"/>
              <w:rPr>
                <w:b/>
                <w:color w:val="D8D8D8"/>
              </w:rPr>
            </w:pPr>
            <w:r>
              <w:rPr>
                <w:b/>
                <w:color w:val="D8D8D8"/>
              </w:rPr>
              <w:t>Stock Awards</w:t>
            </w:r>
          </w:p>
        </w:tc>
        <w:tc>
          <w:tcPr>
            <w:tcW w:w="177" w:type="dxa"/>
            <w:tcBorders>
              <w:bottom w:val="single" w:sz="2" w:space="0" w:color="D8D8D8"/>
            </w:tcBorders>
            <w:shd w:fill="00548B" w:val="clear"/>
            <w:tcMar>
              <w:bottom w:w="28" w:type="dxa"/>
            </w:tcMar>
            <w:vAlign w:val="bottom"/>
          </w:tcPr>
          <w:p>
            <w:pPr>
              <w:pStyle w:val="TableContents"/>
              <w:spacing w:before="0" w:after="283"/>
              <w:rPr/>
            </w:pPr>
            <w:r>
              <w:rPr/>
              <w:t> </w:t>
            </w:r>
          </w:p>
        </w:tc>
      </w:tr>
      <w:tr>
        <w:trPr/>
        <w:tc>
          <w:tcPr>
            <w:tcW w:w="1615" w:type="dxa"/>
            <w:tcBorders/>
            <w:shd w:fill="00548B" w:val="clear"/>
            <w:vAlign w:val="bottom"/>
          </w:tcPr>
          <w:p>
            <w:pPr>
              <w:pStyle w:val="TableContents"/>
              <w:spacing w:before="0" w:after="283"/>
              <w:rPr>
                <w:b/>
                <w:color w:val="D8D8D8"/>
              </w:rPr>
            </w:pPr>
            <w:r>
              <w:rPr>
                <w:b/>
                <w:color w:val="D8D8D8"/>
              </w:rPr>
              <w:t>Name</w:t>
            </w:r>
          </w:p>
        </w:tc>
        <w:tc>
          <w:tcPr>
            <w:tcW w:w="192" w:type="dxa"/>
            <w:tcBorders/>
            <w:shd w:fill="00548B" w:val="clear"/>
            <w:vAlign w:val="bottom"/>
          </w:tcPr>
          <w:p>
            <w:pPr>
              <w:pStyle w:val="TableContents"/>
              <w:spacing w:before="0" w:after="283"/>
              <w:rPr/>
            </w:pPr>
            <w:r>
              <w:rPr/>
              <w:t>  </w:t>
            </w:r>
          </w:p>
        </w:tc>
        <w:tc>
          <w:tcPr>
            <w:tcW w:w="1747" w:type="dxa"/>
            <w:tcBorders/>
            <w:shd w:fill="00548B" w:val="clear"/>
            <w:vAlign w:val="bottom"/>
          </w:tcPr>
          <w:p>
            <w:pPr>
              <w:pStyle w:val="TableContents"/>
              <w:spacing w:before="0" w:after="283"/>
              <w:jc w:val="center"/>
              <w:rPr>
                <w:b/>
                <w:color w:val="D8D8D8"/>
              </w:rPr>
            </w:pPr>
            <w:r>
              <w:rPr>
                <w:b/>
                <w:color w:val="D8D8D8"/>
              </w:rPr>
              <w:t>Shares Acquired</w:t>
              <w:br/>
              <w:t>on Exercise (#)</w:t>
            </w:r>
          </w:p>
        </w:tc>
        <w:tc>
          <w:tcPr>
            <w:tcW w:w="221" w:type="dxa"/>
            <w:tcBorders/>
            <w:shd w:fill="00548B" w:val="clear"/>
            <w:vAlign w:val="bottom"/>
          </w:tcPr>
          <w:p>
            <w:pPr>
              <w:pStyle w:val="TableContents"/>
              <w:spacing w:before="0" w:after="283"/>
              <w:rPr/>
            </w:pPr>
            <w:r>
              <w:rPr/>
              <w:t>  </w:t>
            </w:r>
          </w:p>
        </w:tc>
        <w:tc>
          <w:tcPr>
            <w:tcW w:w="1800" w:type="dxa"/>
            <w:tcBorders/>
            <w:shd w:fill="00548B" w:val="clear"/>
            <w:vAlign w:val="bottom"/>
          </w:tcPr>
          <w:p>
            <w:pPr>
              <w:pStyle w:val="TableContents"/>
              <w:spacing w:before="0" w:after="283"/>
              <w:jc w:val="center"/>
              <w:rPr>
                <w:b/>
                <w:color w:val="D8D8D8"/>
              </w:rPr>
            </w:pPr>
            <w:r>
              <w:rPr>
                <w:b/>
                <w:color w:val="D8D8D8"/>
              </w:rPr>
              <w:t>Value Realized</w:t>
              <w:br/>
              <w:t>on Exercise ($)(1)</w:t>
            </w:r>
          </w:p>
        </w:tc>
        <w:tc>
          <w:tcPr>
            <w:tcW w:w="60" w:type="dxa"/>
            <w:tcBorders/>
            <w:shd w:fill="00548B" w:val="clear"/>
            <w:vAlign w:val="bottom"/>
          </w:tcPr>
          <w:p>
            <w:pPr>
              <w:pStyle w:val="TableContents"/>
              <w:spacing w:before="0" w:after="283"/>
              <w:rPr/>
            </w:pPr>
            <w:r>
              <w:rPr/>
              <w:t> </w:t>
            </w:r>
          </w:p>
        </w:tc>
        <w:tc>
          <w:tcPr>
            <w:tcW w:w="120" w:type="dxa"/>
            <w:gridSpan w:val="2"/>
            <w:tcBorders/>
            <w:shd w:fill="00548B" w:val="clear"/>
            <w:vAlign w:val="bottom"/>
          </w:tcPr>
          <w:p>
            <w:pPr>
              <w:pStyle w:val="TableContents"/>
              <w:spacing w:before="0" w:after="283"/>
              <w:rPr/>
            </w:pPr>
            <w:r>
              <w:rPr/>
              <w:t> </w:t>
            </w:r>
          </w:p>
        </w:tc>
        <w:tc>
          <w:tcPr>
            <w:tcW w:w="227" w:type="dxa"/>
            <w:tcBorders/>
            <w:shd w:fill="00548B" w:val="clear"/>
            <w:vAlign w:val="bottom"/>
          </w:tcPr>
          <w:p>
            <w:pPr>
              <w:pStyle w:val="TableContents"/>
              <w:spacing w:before="0" w:after="283"/>
              <w:rPr/>
            </w:pPr>
            <w:r>
              <w:rPr/>
              <w:t> </w:t>
            </w:r>
          </w:p>
        </w:tc>
        <w:tc>
          <w:tcPr>
            <w:tcW w:w="221" w:type="dxa"/>
            <w:tcBorders/>
            <w:shd w:fill="00548B" w:val="clear"/>
            <w:vAlign w:val="bottom"/>
          </w:tcPr>
          <w:p>
            <w:pPr>
              <w:pStyle w:val="TableContents"/>
              <w:spacing w:before="0" w:after="283"/>
              <w:rPr/>
            </w:pPr>
            <w:r>
              <w:rPr/>
              <w:t>  </w:t>
            </w:r>
          </w:p>
        </w:tc>
        <w:tc>
          <w:tcPr>
            <w:tcW w:w="1733" w:type="dxa"/>
            <w:gridSpan w:val="2"/>
            <w:tcBorders/>
            <w:shd w:fill="00548B" w:val="clear"/>
            <w:vAlign w:val="bottom"/>
          </w:tcPr>
          <w:p>
            <w:pPr>
              <w:pStyle w:val="TableContents"/>
              <w:spacing w:before="0" w:after="283"/>
              <w:jc w:val="center"/>
              <w:rPr>
                <w:b/>
                <w:color w:val="D8D8D8"/>
              </w:rPr>
            </w:pPr>
            <w:r>
              <w:rPr>
                <w:b/>
                <w:color w:val="D8D8D8"/>
              </w:rPr>
              <w:t>Shares Acquired</w:t>
              <w:br/>
              <w:t>on Vesting (#)</w:t>
            </w:r>
          </w:p>
        </w:tc>
        <w:tc>
          <w:tcPr>
            <w:tcW w:w="168" w:type="dxa"/>
            <w:tcBorders/>
            <w:shd w:fill="00548B" w:val="clear"/>
            <w:vAlign w:val="bottom"/>
          </w:tcPr>
          <w:p>
            <w:pPr>
              <w:pStyle w:val="TableContents"/>
              <w:spacing w:before="0" w:after="283"/>
              <w:rPr/>
            </w:pPr>
            <w:r>
              <w:rPr/>
              <w:t> </w:t>
            </w:r>
          </w:p>
        </w:tc>
        <w:tc>
          <w:tcPr>
            <w:tcW w:w="221" w:type="dxa"/>
            <w:tcBorders/>
            <w:shd w:fill="00548B" w:val="clear"/>
            <w:vAlign w:val="bottom"/>
          </w:tcPr>
          <w:p>
            <w:pPr>
              <w:pStyle w:val="TableContents"/>
              <w:spacing w:before="0" w:after="283"/>
              <w:rPr/>
            </w:pPr>
            <w:r>
              <w:rPr/>
              <w:t>  </w:t>
            </w:r>
          </w:p>
        </w:tc>
        <w:tc>
          <w:tcPr>
            <w:tcW w:w="1703" w:type="dxa"/>
            <w:gridSpan w:val="2"/>
            <w:tcBorders/>
            <w:shd w:fill="00548B" w:val="clear"/>
            <w:vAlign w:val="bottom"/>
          </w:tcPr>
          <w:p>
            <w:pPr>
              <w:pStyle w:val="TableContents"/>
              <w:spacing w:before="0" w:after="283"/>
              <w:jc w:val="center"/>
              <w:rPr>
                <w:b/>
                <w:color w:val="D8D8D8"/>
              </w:rPr>
            </w:pPr>
            <w:r>
              <w:rPr>
                <w:b/>
                <w:color w:val="D8D8D8"/>
              </w:rPr>
              <w:t>Value Realized</w:t>
              <w:br/>
              <w:t>on Vesting ($)(2)</w:t>
            </w:r>
          </w:p>
        </w:tc>
        <w:tc>
          <w:tcPr>
            <w:tcW w:w="177" w:type="dxa"/>
            <w:tcBorders/>
            <w:shd w:fill="00548B" w:val="clear"/>
            <w:vAlign w:val="bottom"/>
          </w:tcPr>
          <w:p>
            <w:pPr>
              <w:pStyle w:val="TableContents"/>
              <w:spacing w:before="0" w:after="283"/>
              <w:rPr/>
            </w:pPr>
            <w:r>
              <w:rPr/>
              <w:t> </w:t>
            </w:r>
          </w:p>
        </w:tc>
      </w:tr>
      <w:tr>
        <w:trPr/>
        <w:tc>
          <w:tcPr>
            <w:tcW w:w="1615"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James H. Roth</w:t>
            </w:r>
          </w:p>
        </w:tc>
        <w:tc>
          <w:tcPr>
            <w:tcW w:w="192" w:type="dxa"/>
            <w:tcBorders>
              <w:bottom w:val="single" w:sz="2" w:space="0" w:color="999999"/>
            </w:tcBorders>
            <w:shd w:fill="auto" w:val="clear"/>
            <w:tcMar>
              <w:bottom w:w="28" w:type="dxa"/>
            </w:tcMar>
            <w:vAlign w:val="bottom"/>
          </w:tcPr>
          <w:p>
            <w:pPr>
              <w:pStyle w:val="TableContents"/>
              <w:spacing w:before="0" w:after="283"/>
              <w:rPr/>
            </w:pPr>
            <w:r>
              <w:rPr/>
              <w:t>  </w:t>
            </w:r>
          </w:p>
        </w:tc>
        <w:tc>
          <w:tcPr>
            <w:tcW w:w="1747"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40,400</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180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1,077,197</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127" w:type="dxa"/>
            <w:tcBorders>
              <w:bottom w:val="single" w:sz="2" w:space="0" w:color="999999"/>
            </w:tcBorders>
            <w:shd w:fill="auto" w:val="clear"/>
            <w:tcMar>
              <w:bottom w:w="28" w:type="dxa"/>
            </w:tcMar>
            <w:vAlign w:val="bottom"/>
          </w:tcPr>
          <w:p>
            <w:pPr>
              <w:pStyle w:val="TableContents"/>
              <w:spacing w:before="0" w:after="283"/>
              <w:rPr/>
            </w:pPr>
            <w:r>
              <w:rPr/>
              <w:t> </w:t>
            </w:r>
          </w:p>
        </w:tc>
        <w:tc>
          <w:tcPr>
            <w:tcW w:w="1606"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21,223</w:t>
            </w:r>
          </w:p>
        </w:tc>
        <w:tc>
          <w:tcPr>
            <w:tcW w:w="168" w:type="dxa"/>
            <w:tcBorders>
              <w:bottom w:val="single" w:sz="2" w:space="0" w:color="999999"/>
            </w:tcBorders>
            <w:shd w:fill="auto" w:val="clear"/>
            <w:tcMar>
              <w:bottom w:w="28" w:type="dxa"/>
            </w:tcMar>
            <w:vAlign w:val="bottom"/>
          </w:tcPr>
          <w:p>
            <w:pPr>
              <w:pStyle w:val="TableContents"/>
              <w:spacing w:before="0" w:after="283"/>
              <w:rPr/>
            </w:pPr>
            <w:r>
              <w:rPr/>
              <w:t> </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89" w:type="dxa"/>
            <w:tcBorders>
              <w:bottom w:val="single" w:sz="2" w:space="0" w:color="999999"/>
            </w:tcBorders>
            <w:shd w:fill="auto" w:val="clear"/>
            <w:tcMar>
              <w:bottom w:w="28" w:type="dxa"/>
            </w:tcMar>
            <w:vAlign w:val="bottom"/>
          </w:tcPr>
          <w:p>
            <w:pPr>
              <w:pStyle w:val="TableContents"/>
              <w:spacing w:before="0" w:after="283"/>
              <w:rPr/>
            </w:pPr>
            <w:r>
              <w:rPr/>
              <w:t> </w:t>
            </w:r>
          </w:p>
        </w:tc>
        <w:tc>
          <w:tcPr>
            <w:tcW w:w="161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1,200,351</w:t>
            </w:r>
          </w:p>
        </w:tc>
        <w:tc>
          <w:tcPr>
            <w:tcW w:w="17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615"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C. Mark Hussey</w:t>
            </w:r>
          </w:p>
        </w:tc>
        <w:tc>
          <w:tcPr>
            <w:tcW w:w="192" w:type="dxa"/>
            <w:tcBorders>
              <w:bottom w:val="single" w:sz="2" w:space="0" w:color="999999"/>
            </w:tcBorders>
            <w:shd w:fill="auto" w:val="clear"/>
            <w:tcMar>
              <w:bottom w:w="28" w:type="dxa"/>
            </w:tcMar>
            <w:vAlign w:val="bottom"/>
          </w:tcPr>
          <w:p>
            <w:pPr>
              <w:pStyle w:val="TableContents"/>
              <w:spacing w:before="0" w:after="283"/>
              <w:rPr/>
            </w:pPr>
            <w:r>
              <w:rPr/>
              <w:t>  </w:t>
            </w:r>
          </w:p>
        </w:tc>
        <w:tc>
          <w:tcPr>
            <w:tcW w:w="1747"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0</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180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127" w:type="dxa"/>
            <w:tcBorders>
              <w:bottom w:val="single" w:sz="2" w:space="0" w:color="999999"/>
            </w:tcBorders>
            <w:shd w:fill="auto" w:val="clear"/>
            <w:tcMar>
              <w:bottom w:w="28" w:type="dxa"/>
            </w:tcMar>
            <w:vAlign w:val="bottom"/>
          </w:tcPr>
          <w:p>
            <w:pPr>
              <w:pStyle w:val="TableContents"/>
              <w:spacing w:before="0" w:after="283"/>
              <w:rPr/>
            </w:pPr>
            <w:r>
              <w:rPr/>
              <w:t> </w:t>
            </w:r>
          </w:p>
        </w:tc>
        <w:tc>
          <w:tcPr>
            <w:tcW w:w="1606"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19,102</w:t>
            </w:r>
          </w:p>
        </w:tc>
        <w:tc>
          <w:tcPr>
            <w:tcW w:w="168" w:type="dxa"/>
            <w:tcBorders>
              <w:bottom w:val="single" w:sz="2" w:space="0" w:color="999999"/>
            </w:tcBorders>
            <w:shd w:fill="auto" w:val="clear"/>
            <w:tcMar>
              <w:bottom w:w="28" w:type="dxa"/>
            </w:tcMar>
            <w:vAlign w:val="bottom"/>
          </w:tcPr>
          <w:p>
            <w:pPr>
              <w:pStyle w:val="TableContents"/>
              <w:spacing w:before="0" w:after="283"/>
              <w:rPr/>
            </w:pPr>
            <w:r>
              <w:rPr/>
              <w:t> </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89" w:type="dxa"/>
            <w:tcBorders>
              <w:bottom w:val="single" w:sz="2" w:space="0" w:color="999999"/>
            </w:tcBorders>
            <w:shd w:fill="auto" w:val="clear"/>
            <w:tcMar>
              <w:bottom w:w="28" w:type="dxa"/>
            </w:tcMar>
            <w:vAlign w:val="bottom"/>
          </w:tcPr>
          <w:p>
            <w:pPr>
              <w:pStyle w:val="TableContents"/>
              <w:spacing w:before="0" w:after="283"/>
              <w:rPr/>
            </w:pPr>
            <w:r>
              <w:rPr/>
              <w:t> </w:t>
            </w:r>
          </w:p>
        </w:tc>
        <w:tc>
          <w:tcPr>
            <w:tcW w:w="161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1,010,591</w:t>
            </w:r>
          </w:p>
        </w:tc>
        <w:tc>
          <w:tcPr>
            <w:tcW w:w="17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615"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John D. Kelly</w:t>
            </w:r>
          </w:p>
        </w:tc>
        <w:tc>
          <w:tcPr>
            <w:tcW w:w="192" w:type="dxa"/>
            <w:tcBorders>
              <w:bottom w:val="single" w:sz="2" w:space="0" w:color="999999"/>
            </w:tcBorders>
            <w:shd w:fill="auto" w:val="clear"/>
            <w:tcMar>
              <w:bottom w:w="28" w:type="dxa"/>
            </w:tcMar>
            <w:vAlign w:val="bottom"/>
          </w:tcPr>
          <w:p>
            <w:pPr>
              <w:pStyle w:val="TableContents"/>
              <w:spacing w:before="0" w:after="283"/>
              <w:rPr/>
            </w:pPr>
            <w:r>
              <w:rPr/>
              <w:t>  </w:t>
            </w:r>
          </w:p>
        </w:tc>
        <w:tc>
          <w:tcPr>
            <w:tcW w:w="1747"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0</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180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127" w:type="dxa"/>
            <w:tcBorders>
              <w:bottom w:val="single" w:sz="2" w:space="0" w:color="999999"/>
            </w:tcBorders>
            <w:shd w:fill="auto" w:val="clear"/>
            <w:tcMar>
              <w:bottom w:w="28" w:type="dxa"/>
            </w:tcMar>
            <w:vAlign w:val="bottom"/>
          </w:tcPr>
          <w:p>
            <w:pPr>
              <w:pStyle w:val="TableContents"/>
              <w:spacing w:before="0" w:after="283"/>
              <w:rPr/>
            </w:pPr>
            <w:r>
              <w:rPr/>
              <w:t> </w:t>
            </w:r>
          </w:p>
        </w:tc>
        <w:tc>
          <w:tcPr>
            <w:tcW w:w="1606"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3,794</w:t>
            </w:r>
          </w:p>
        </w:tc>
        <w:tc>
          <w:tcPr>
            <w:tcW w:w="168" w:type="dxa"/>
            <w:tcBorders>
              <w:bottom w:val="single" w:sz="2" w:space="0" w:color="999999"/>
            </w:tcBorders>
            <w:shd w:fill="auto" w:val="clear"/>
            <w:tcMar>
              <w:bottom w:w="28" w:type="dxa"/>
            </w:tcMar>
            <w:vAlign w:val="bottom"/>
          </w:tcPr>
          <w:p>
            <w:pPr>
              <w:pStyle w:val="TableContents"/>
              <w:spacing w:before="0" w:after="283"/>
              <w:rPr/>
            </w:pPr>
            <w:r>
              <w:rPr/>
              <w:t> </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89" w:type="dxa"/>
            <w:tcBorders>
              <w:bottom w:val="single" w:sz="2" w:space="0" w:color="999999"/>
            </w:tcBorders>
            <w:shd w:fill="auto" w:val="clear"/>
            <w:tcMar>
              <w:bottom w:w="28" w:type="dxa"/>
            </w:tcMar>
            <w:vAlign w:val="bottom"/>
          </w:tcPr>
          <w:p>
            <w:pPr>
              <w:pStyle w:val="TableContents"/>
              <w:spacing w:before="0" w:after="283"/>
              <w:rPr/>
            </w:pPr>
            <w:r>
              <w:rPr/>
              <w:t> </w:t>
            </w:r>
          </w:p>
        </w:tc>
        <w:tc>
          <w:tcPr>
            <w:tcW w:w="161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218,029</w:t>
            </w:r>
          </w:p>
        </w:tc>
        <w:tc>
          <w:tcPr>
            <w:tcW w:w="17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615"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Diane E. Ratekin</w:t>
            </w:r>
          </w:p>
        </w:tc>
        <w:tc>
          <w:tcPr>
            <w:tcW w:w="192" w:type="dxa"/>
            <w:tcBorders>
              <w:bottom w:val="single" w:sz="2" w:space="0" w:color="999999"/>
            </w:tcBorders>
            <w:shd w:fill="auto" w:val="clear"/>
            <w:tcMar>
              <w:bottom w:w="28" w:type="dxa"/>
            </w:tcMar>
            <w:vAlign w:val="bottom"/>
          </w:tcPr>
          <w:p>
            <w:pPr>
              <w:pStyle w:val="TableContents"/>
              <w:spacing w:before="0" w:after="283"/>
              <w:rPr/>
            </w:pPr>
            <w:r>
              <w:rPr/>
              <w:t>  </w:t>
            </w:r>
          </w:p>
        </w:tc>
        <w:tc>
          <w:tcPr>
            <w:tcW w:w="1747"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0</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1800"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227" w:type="dxa"/>
            <w:tcBorders>
              <w:bottom w:val="single" w:sz="2" w:space="0" w:color="999999"/>
            </w:tcBorders>
            <w:shd w:fill="auto" w:val="clear"/>
            <w:tcMar>
              <w:bottom w:w="28" w:type="dxa"/>
            </w:tcMar>
            <w:vAlign w:val="bottom"/>
          </w:tcPr>
          <w:p>
            <w:pPr>
              <w:pStyle w:val="TableContents"/>
              <w:spacing w:before="0" w:after="283"/>
              <w:rPr/>
            </w:pPr>
            <w:r>
              <w:rPr/>
              <w:t> </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127" w:type="dxa"/>
            <w:tcBorders>
              <w:bottom w:val="single" w:sz="2" w:space="0" w:color="999999"/>
            </w:tcBorders>
            <w:shd w:fill="auto" w:val="clear"/>
            <w:tcMar>
              <w:bottom w:w="28" w:type="dxa"/>
            </w:tcMar>
            <w:vAlign w:val="bottom"/>
          </w:tcPr>
          <w:p>
            <w:pPr>
              <w:pStyle w:val="TableContents"/>
              <w:spacing w:before="0" w:after="283"/>
              <w:rPr/>
            </w:pPr>
            <w:r>
              <w:rPr/>
              <w:t> </w:t>
            </w:r>
          </w:p>
        </w:tc>
        <w:tc>
          <w:tcPr>
            <w:tcW w:w="1606"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3,930</w:t>
            </w:r>
          </w:p>
        </w:tc>
        <w:tc>
          <w:tcPr>
            <w:tcW w:w="168" w:type="dxa"/>
            <w:tcBorders>
              <w:bottom w:val="single" w:sz="2" w:space="0" w:color="999999"/>
            </w:tcBorders>
            <w:shd w:fill="auto" w:val="clear"/>
            <w:tcMar>
              <w:bottom w:w="28" w:type="dxa"/>
            </w:tcMar>
            <w:vAlign w:val="bottom"/>
          </w:tcPr>
          <w:p>
            <w:pPr>
              <w:pStyle w:val="TableContents"/>
              <w:spacing w:before="0" w:after="283"/>
              <w:rPr/>
            </w:pPr>
            <w:r>
              <w:rPr/>
              <w:t> </w:t>
            </w:r>
          </w:p>
        </w:tc>
        <w:tc>
          <w:tcPr>
            <w:tcW w:w="221" w:type="dxa"/>
            <w:tcBorders>
              <w:bottom w:val="single" w:sz="2" w:space="0" w:color="999999"/>
            </w:tcBorders>
            <w:shd w:fill="auto" w:val="clear"/>
            <w:tcMar>
              <w:bottom w:w="28" w:type="dxa"/>
            </w:tcMar>
            <w:vAlign w:val="bottom"/>
          </w:tcPr>
          <w:p>
            <w:pPr>
              <w:pStyle w:val="TableContents"/>
              <w:spacing w:before="0" w:after="283"/>
              <w:rPr/>
            </w:pPr>
            <w:r>
              <w:rPr/>
              <w:t>  </w:t>
            </w:r>
          </w:p>
        </w:tc>
        <w:tc>
          <w:tcPr>
            <w:tcW w:w="89" w:type="dxa"/>
            <w:tcBorders>
              <w:bottom w:val="single" w:sz="2" w:space="0" w:color="999999"/>
            </w:tcBorders>
            <w:shd w:fill="auto" w:val="clear"/>
            <w:tcMar>
              <w:bottom w:w="28" w:type="dxa"/>
            </w:tcMar>
            <w:vAlign w:val="bottom"/>
          </w:tcPr>
          <w:p>
            <w:pPr>
              <w:pStyle w:val="TableContents"/>
              <w:spacing w:before="0" w:after="283"/>
              <w:rPr/>
            </w:pPr>
            <w:r>
              <w:rPr/>
              <w:t> </w:t>
            </w:r>
          </w:p>
        </w:tc>
        <w:tc>
          <w:tcPr>
            <w:tcW w:w="161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223,149</w:t>
            </w:r>
          </w:p>
        </w:tc>
        <w:tc>
          <w:tcPr>
            <w:tcW w:w="177"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615" w:type="dxa"/>
            <w:tcBorders>
              <w:bottom w:val="single" w:sz="2" w:space="0" w:color="00548B"/>
            </w:tcBorders>
            <w:shd w:fill="auto" w:val="clear"/>
            <w:tcMar>
              <w:bottom w:w="28" w:type="dxa"/>
            </w:tcMar>
          </w:tcPr>
          <w:p>
            <w:pPr>
              <w:pStyle w:val="TableContents"/>
              <w:spacing w:before="0" w:after="0"/>
              <w:rPr>
                <w:rFonts w:ascii="arial" w:hAnsi="arial"/>
                <w:sz w:val="18"/>
              </w:rPr>
            </w:pPr>
            <w:r>
              <w:rPr>
                <w:rFonts w:ascii="arial" w:hAnsi="arial"/>
                <w:sz w:val="18"/>
              </w:rPr>
              <w:t>Ernest W. Torain Jr.</w:t>
            </w:r>
          </w:p>
        </w:tc>
        <w:tc>
          <w:tcPr>
            <w:tcW w:w="192" w:type="dxa"/>
            <w:tcBorders>
              <w:bottom w:val="single" w:sz="2" w:space="0" w:color="00548B"/>
            </w:tcBorders>
            <w:shd w:fill="auto" w:val="clear"/>
            <w:tcMar>
              <w:bottom w:w="28" w:type="dxa"/>
            </w:tcMar>
            <w:vAlign w:val="bottom"/>
          </w:tcPr>
          <w:p>
            <w:pPr>
              <w:pStyle w:val="TableContents"/>
              <w:spacing w:before="0" w:after="283"/>
              <w:rPr/>
            </w:pPr>
            <w:r>
              <w:rPr/>
              <w:t>  </w:t>
            </w:r>
          </w:p>
        </w:tc>
        <w:tc>
          <w:tcPr>
            <w:tcW w:w="1747"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0</w:t>
            </w:r>
          </w:p>
        </w:tc>
        <w:tc>
          <w:tcPr>
            <w:tcW w:w="221" w:type="dxa"/>
            <w:tcBorders>
              <w:bottom w:val="single" w:sz="2" w:space="0" w:color="00548B"/>
            </w:tcBorders>
            <w:shd w:fill="auto" w:val="clear"/>
            <w:tcMar>
              <w:bottom w:w="28" w:type="dxa"/>
            </w:tcMar>
            <w:vAlign w:val="bottom"/>
          </w:tcPr>
          <w:p>
            <w:pPr>
              <w:pStyle w:val="TableContents"/>
              <w:spacing w:before="0" w:after="283"/>
              <w:rPr/>
            </w:pPr>
            <w:r>
              <w:rPr/>
              <w:t>  </w:t>
            </w:r>
          </w:p>
        </w:tc>
        <w:tc>
          <w:tcPr>
            <w:tcW w:w="1800"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0</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227" w:type="dxa"/>
            <w:tcBorders>
              <w:bottom w:val="single" w:sz="2" w:space="0" w:color="00548B"/>
            </w:tcBorders>
            <w:shd w:fill="auto" w:val="clear"/>
            <w:tcMar>
              <w:bottom w:w="28" w:type="dxa"/>
            </w:tcMar>
            <w:vAlign w:val="bottom"/>
          </w:tcPr>
          <w:p>
            <w:pPr>
              <w:pStyle w:val="TableContents"/>
              <w:spacing w:before="0" w:after="283"/>
              <w:rPr/>
            </w:pPr>
            <w:r>
              <w:rPr/>
              <w:t> </w:t>
            </w:r>
          </w:p>
        </w:tc>
        <w:tc>
          <w:tcPr>
            <w:tcW w:w="221" w:type="dxa"/>
            <w:tcBorders>
              <w:bottom w:val="single" w:sz="2" w:space="0" w:color="00548B"/>
            </w:tcBorders>
            <w:shd w:fill="auto" w:val="clear"/>
            <w:tcMar>
              <w:bottom w:w="28" w:type="dxa"/>
            </w:tcMar>
            <w:vAlign w:val="bottom"/>
          </w:tcPr>
          <w:p>
            <w:pPr>
              <w:pStyle w:val="TableContents"/>
              <w:spacing w:before="0" w:after="283"/>
              <w:rPr/>
            </w:pPr>
            <w:r>
              <w:rPr/>
              <w:t>  </w:t>
            </w:r>
          </w:p>
        </w:tc>
        <w:tc>
          <w:tcPr>
            <w:tcW w:w="127" w:type="dxa"/>
            <w:tcBorders>
              <w:bottom w:val="single" w:sz="2" w:space="0" w:color="00548B"/>
            </w:tcBorders>
            <w:shd w:fill="auto" w:val="clear"/>
            <w:tcMar>
              <w:bottom w:w="28" w:type="dxa"/>
            </w:tcMar>
            <w:vAlign w:val="bottom"/>
          </w:tcPr>
          <w:p>
            <w:pPr>
              <w:pStyle w:val="TableContents"/>
              <w:spacing w:before="0" w:after="283"/>
              <w:rPr/>
            </w:pPr>
            <w:r>
              <w:rPr/>
              <w:t> </w:t>
            </w:r>
          </w:p>
        </w:tc>
        <w:tc>
          <w:tcPr>
            <w:tcW w:w="1606" w:type="dxa"/>
            <w:tcBorders>
              <w:bottom w:val="single" w:sz="2" w:space="0" w:color="00548B"/>
            </w:tcBorders>
            <w:shd w:fill="auto" w:val="clear"/>
            <w:tcMar>
              <w:bottom w:w="28" w:type="dxa"/>
            </w:tcMar>
            <w:vAlign w:val="bottom"/>
          </w:tcPr>
          <w:p>
            <w:pPr>
              <w:pStyle w:val="TableContents"/>
              <w:spacing w:before="0" w:after="283"/>
              <w:jc w:val="center"/>
              <w:rPr/>
            </w:pPr>
            <w:r>
              <w:rPr/>
              <w:t>  </w:t>
            </w:r>
            <w:r>
              <w:rPr>
                <w:rFonts w:ascii="ARIAL" w:hAnsi="ARIAL"/>
              </w:rPr>
              <w:t>0</w:t>
            </w:r>
          </w:p>
        </w:tc>
        <w:tc>
          <w:tcPr>
            <w:tcW w:w="168" w:type="dxa"/>
            <w:tcBorders>
              <w:bottom w:val="single" w:sz="2" w:space="0" w:color="00548B"/>
            </w:tcBorders>
            <w:shd w:fill="auto" w:val="clear"/>
            <w:tcMar>
              <w:bottom w:w="28" w:type="dxa"/>
            </w:tcMar>
            <w:vAlign w:val="bottom"/>
          </w:tcPr>
          <w:p>
            <w:pPr>
              <w:pStyle w:val="TableContents"/>
              <w:spacing w:before="0" w:after="283"/>
              <w:rPr/>
            </w:pPr>
            <w:r>
              <w:rPr/>
              <w:t> </w:t>
            </w:r>
          </w:p>
        </w:tc>
        <w:tc>
          <w:tcPr>
            <w:tcW w:w="221" w:type="dxa"/>
            <w:tcBorders>
              <w:bottom w:val="single" w:sz="2" w:space="0" w:color="00548B"/>
            </w:tcBorders>
            <w:shd w:fill="auto" w:val="clear"/>
            <w:tcMar>
              <w:bottom w:w="28" w:type="dxa"/>
            </w:tcMar>
            <w:vAlign w:val="bottom"/>
          </w:tcPr>
          <w:p>
            <w:pPr>
              <w:pStyle w:val="TableContents"/>
              <w:spacing w:before="0" w:after="283"/>
              <w:rPr/>
            </w:pPr>
            <w:r>
              <w:rPr/>
              <w:t>  </w:t>
            </w:r>
          </w:p>
        </w:tc>
        <w:tc>
          <w:tcPr>
            <w:tcW w:w="89" w:type="dxa"/>
            <w:tcBorders>
              <w:bottom w:val="single" w:sz="2" w:space="0" w:color="00548B"/>
            </w:tcBorders>
            <w:shd w:fill="auto" w:val="clear"/>
            <w:tcMar>
              <w:bottom w:w="28" w:type="dxa"/>
            </w:tcMar>
            <w:vAlign w:val="bottom"/>
          </w:tcPr>
          <w:p>
            <w:pPr>
              <w:pStyle w:val="TableContents"/>
              <w:spacing w:before="0" w:after="283"/>
              <w:rPr/>
            </w:pPr>
            <w:r>
              <w:rPr/>
              <w:t> </w:t>
            </w:r>
          </w:p>
        </w:tc>
        <w:tc>
          <w:tcPr>
            <w:tcW w:w="1614" w:type="dxa"/>
            <w:tcBorders>
              <w:bottom w:val="single" w:sz="2" w:space="0" w:color="00548B"/>
            </w:tcBorders>
            <w:shd w:fill="auto" w:val="clear"/>
            <w:tcMar>
              <w:bottom w:w="28" w:type="dxa"/>
            </w:tcMar>
            <w:vAlign w:val="bottom"/>
          </w:tcPr>
          <w:p>
            <w:pPr>
              <w:pStyle w:val="TableContents"/>
              <w:spacing w:before="0" w:after="283"/>
              <w:jc w:val="center"/>
              <w:rPr/>
            </w:pPr>
            <w:r>
              <w:rPr/>
              <w:t>  </w:t>
            </w:r>
            <w:r>
              <w:rPr>
                <w:rFonts w:ascii="ARIAL" w:hAnsi="ARIAL"/>
              </w:rPr>
              <w:t>0</w:t>
            </w:r>
          </w:p>
        </w:tc>
        <w:tc>
          <w:tcPr>
            <w:tcW w:w="177"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10"/>
        <w:gridCol w:w="9695"/>
      </w:tblGrid>
      <w:tr>
        <w:trPr/>
        <w:tc>
          <w:tcPr>
            <w:tcW w:w="510" w:type="dxa"/>
            <w:tcBorders/>
            <w:shd w:fill="auto" w:val="clear"/>
          </w:tcPr>
          <w:p>
            <w:pPr>
              <w:pStyle w:val="TableContents"/>
              <w:spacing w:before="0" w:after="283"/>
              <w:jc w:val="left"/>
              <w:rPr/>
            </w:pPr>
            <w:r>
              <w:rPr/>
              <w:t>(1)</w:t>
            </w:r>
          </w:p>
        </w:tc>
        <w:tc>
          <w:tcPr>
            <w:tcW w:w="9695" w:type="dxa"/>
            <w:tcBorders/>
            <w:shd w:fill="auto" w:val="clear"/>
          </w:tcPr>
          <w:p>
            <w:pPr>
              <w:pStyle w:val="TableContents"/>
              <w:spacing w:before="0" w:after="0"/>
              <w:jc w:val="both"/>
              <w:rPr>
                <w:rFonts w:ascii="arial" w:hAnsi="arial"/>
                <w:sz w:val="18"/>
              </w:rPr>
            </w:pPr>
            <w:r>
              <w:rPr>
                <w:rFonts w:ascii="arial" w:hAnsi="arial"/>
                <w:sz w:val="18"/>
              </w:rPr>
              <w:t xml:space="preserve">The value realized on exercise equals the market value of Huron stock measured at the time of exercise minus the exercise price of the options multiplied by the number of options exercised. </w:t>
            </w:r>
          </w:p>
        </w:tc>
      </w:tr>
    </w:tbl>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(2)</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The value realized on vesting equals the market value of Huron stock measured as the closing price of the stock on the most recent business day preceding the vesting date multiplied by the number of shares received on vesting. </w:t>
            </w:r>
          </w:p>
        </w:tc>
      </w:tr>
    </w:tbl>
    <w:p>
      <w:pPr>
        <w:pStyle w:val="TextBody"/>
        <w:spacing w:before="200" w:after="0"/>
        <w:jc w:val="both"/>
        <w:rPr>
          <w:rFonts w:ascii="arial" w:hAnsi="arial"/>
          <w:b/>
          <w:color w:val="00548B"/>
          <w:sz w:val="20"/>
        </w:rPr>
      </w:pPr>
      <w:bookmarkStart w:id="30" w:name="toc170561_28"/>
      <w:bookmarkEnd w:id="30"/>
      <w:r>
        <w:rPr>
          <w:rFonts w:ascii="arial" w:hAnsi="arial"/>
          <w:b/>
          <w:color w:val="00548B"/>
          <w:sz w:val="20"/>
        </w:rPr>
        <w:t>2020 N</w:t>
      </w:r>
      <w:r>
        <w:rPr>
          <w:rFonts w:ascii="arial" w:hAnsi="arial"/>
          <w:b/>
          <w:color w:val="00548B"/>
          <w:sz w:val="14"/>
        </w:rPr>
        <w:t>ONQUALIFIED</w:t>
      </w:r>
      <w:r>
        <w:rPr>
          <w:rFonts w:ascii="arial" w:hAnsi="arial"/>
          <w:b/>
          <w:color w:val="00548B"/>
          <w:sz w:val="20"/>
        </w:rPr>
        <w:t xml:space="preserve"> D</w:t>
      </w:r>
      <w:r>
        <w:rPr>
          <w:rFonts w:ascii="arial" w:hAnsi="arial"/>
          <w:b/>
          <w:color w:val="00548B"/>
          <w:sz w:val="14"/>
        </w:rPr>
        <w:t>EFERRED</w:t>
      </w:r>
      <w:r>
        <w:rPr>
          <w:rFonts w:ascii="arial" w:hAnsi="arial"/>
          <w:b/>
          <w:color w:val="00548B"/>
          <w:sz w:val="20"/>
        </w:rPr>
        <w:t xml:space="preserve"> C</w:t>
      </w:r>
      <w:r>
        <w:rPr>
          <w:rFonts w:ascii="arial" w:hAnsi="arial"/>
          <w:b/>
          <w:color w:val="00548B"/>
          <w:sz w:val="14"/>
        </w:rPr>
        <w:t>OMPENSATION</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following table sets forth the deferred compensation activity for the named executive officers in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349"/>
        <w:gridCol w:w="136"/>
        <w:gridCol w:w="1471"/>
        <w:gridCol w:w="136"/>
        <w:gridCol w:w="1568"/>
        <w:gridCol w:w="136"/>
        <w:gridCol w:w="98"/>
        <w:gridCol w:w="1478"/>
        <w:gridCol w:w="156"/>
        <w:gridCol w:w="136"/>
        <w:gridCol w:w="1568"/>
        <w:gridCol w:w="136"/>
        <w:gridCol w:w="87"/>
        <w:gridCol w:w="1584"/>
        <w:gridCol w:w="166"/>
      </w:tblGrid>
      <w:tr>
        <w:trPr/>
        <w:tc>
          <w:tcPr>
            <w:tcW w:w="1349"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471"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98" w:type="dxa"/>
            <w:tcBorders/>
            <w:shd w:fill="auto" w:val="clear"/>
            <w:vAlign w:val="center"/>
          </w:tcPr>
          <w:p>
            <w:pPr>
              <w:pStyle w:val="TableContents"/>
              <w:spacing w:before="0" w:after="283"/>
              <w:rPr>
                <w:sz w:val="4"/>
                <w:szCs w:val="4"/>
              </w:rPr>
            </w:pPr>
            <w:r>
              <w:rPr>
                <w:sz w:val="4"/>
                <w:szCs w:val="4"/>
              </w:rPr>
            </w:r>
          </w:p>
        </w:tc>
        <w:tc>
          <w:tcPr>
            <w:tcW w:w="1478" w:type="dxa"/>
            <w:tcBorders/>
            <w:shd w:fill="auto" w:val="clear"/>
            <w:vAlign w:val="center"/>
          </w:tcPr>
          <w:p>
            <w:pPr>
              <w:pStyle w:val="TableContents"/>
              <w:spacing w:before="0" w:after="283"/>
              <w:rPr>
                <w:sz w:val="4"/>
                <w:szCs w:val="4"/>
              </w:rPr>
            </w:pPr>
            <w:r>
              <w:rPr>
                <w:sz w:val="4"/>
                <w:szCs w:val="4"/>
              </w:rPr>
            </w:r>
          </w:p>
        </w:tc>
        <w:tc>
          <w:tcPr>
            <w:tcW w:w="156" w:type="dxa"/>
            <w:tcBorders/>
            <w:shd w:fill="auto" w:val="clear"/>
            <w:vAlign w:val="bottom"/>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1568" w:type="dxa"/>
            <w:tcBorders/>
            <w:shd w:fill="auto" w:val="clear"/>
            <w:vAlign w:val="center"/>
          </w:tcPr>
          <w:p>
            <w:pPr>
              <w:pStyle w:val="TableContents"/>
              <w:spacing w:before="0" w:after="283"/>
              <w:rPr>
                <w:sz w:val="4"/>
                <w:szCs w:val="4"/>
              </w:rPr>
            </w:pPr>
            <w:r>
              <w:rPr>
                <w:sz w:val="4"/>
                <w:szCs w:val="4"/>
              </w:rPr>
            </w:r>
          </w:p>
        </w:tc>
        <w:tc>
          <w:tcPr>
            <w:tcW w:w="136" w:type="dxa"/>
            <w:tcBorders/>
            <w:shd w:fill="auto" w:val="clear"/>
            <w:vAlign w:val="bottom"/>
          </w:tcPr>
          <w:p>
            <w:pPr>
              <w:pStyle w:val="TableContents"/>
              <w:spacing w:before="0" w:after="283"/>
              <w:rPr>
                <w:sz w:val="4"/>
                <w:szCs w:val="4"/>
              </w:rPr>
            </w:pPr>
            <w:r>
              <w:rPr>
                <w:sz w:val="4"/>
                <w:szCs w:val="4"/>
              </w:rPr>
            </w:r>
          </w:p>
        </w:tc>
        <w:tc>
          <w:tcPr>
            <w:tcW w:w="87" w:type="dxa"/>
            <w:tcBorders/>
            <w:shd w:fill="auto" w:val="clear"/>
            <w:vAlign w:val="center"/>
          </w:tcPr>
          <w:p>
            <w:pPr>
              <w:pStyle w:val="TableContents"/>
              <w:spacing w:before="0" w:after="283"/>
              <w:rPr>
                <w:sz w:val="4"/>
                <w:szCs w:val="4"/>
              </w:rPr>
            </w:pPr>
            <w:r>
              <w:rPr>
                <w:sz w:val="4"/>
                <w:szCs w:val="4"/>
              </w:rPr>
            </w:r>
          </w:p>
        </w:tc>
        <w:tc>
          <w:tcPr>
            <w:tcW w:w="1584"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r>
      <w:tr>
        <w:trPr/>
        <w:tc>
          <w:tcPr>
            <w:tcW w:w="1349" w:type="dxa"/>
            <w:tcBorders/>
            <w:shd w:fill="00548B" w:val="clear"/>
            <w:vAlign w:val="bottom"/>
          </w:tcPr>
          <w:p>
            <w:pPr>
              <w:pStyle w:val="TableContents"/>
              <w:spacing w:before="0" w:after="283"/>
              <w:rPr>
                <w:b/>
                <w:color w:val="D8D8D8"/>
              </w:rPr>
            </w:pPr>
            <w:r>
              <w:rPr>
                <w:b/>
                <w:color w:val="D8D8D8"/>
              </w:rPr>
              <w:t>Name</w:t>
            </w:r>
          </w:p>
        </w:tc>
        <w:tc>
          <w:tcPr>
            <w:tcW w:w="136" w:type="dxa"/>
            <w:tcBorders/>
            <w:shd w:fill="00548B" w:val="clear"/>
            <w:vAlign w:val="bottom"/>
          </w:tcPr>
          <w:p>
            <w:pPr>
              <w:pStyle w:val="TableContents"/>
              <w:spacing w:before="0" w:after="283"/>
              <w:rPr/>
            </w:pPr>
            <w:r>
              <w:rPr/>
              <w:t> </w:t>
            </w:r>
          </w:p>
        </w:tc>
        <w:tc>
          <w:tcPr>
            <w:tcW w:w="1471" w:type="dxa"/>
            <w:tcBorders/>
            <w:shd w:fill="00548B" w:val="clear"/>
            <w:vAlign w:val="bottom"/>
          </w:tcPr>
          <w:p>
            <w:pPr>
              <w:pStyle w:val="TableContents"/>
              <w:spacing w:before="0" w:after="0"/>
              <w:jc w:val="center"/>
              <w:rPr>
                <w:rFonts w:ascii="arial" w:hAnsi="arial"/>
                <w:b/>
                <w:color w:val="D8D8D8"/>
                <w:sz w:val="16"/>
              </w:rPr>
            </w:pPr>
            <w:r>
              <w:rPr>
                <w:rFonts w:ascii="arial" w:hAnsi="arial"/>
                <w:b/>
                <w:color w:val="D8D8D8"/>
                <w:sz w:val="16"/>
              </w:rPr>
              <w:t>Executive</w:t>
              <w:br/>
              <w:t>Contributions</w:t>
            </w:r>
          </w:p>
          <w:p>
            <w:pPr>
              <w:pStyle w:val="TableContents"/>
              <w:spacing w:before="0" w:after="20"/>
              <w:jc w:val="center"/>
              <w:rPr>
                <w:color w:val="D8D8D8"/>
              </w:rPr>
            </w:pPr>
            <w:r>
              <w:rPr>
                <w:color w:val="D8D8D8"/>
              </w:rPr>
              <w:t>    </w:t>
            </w:r>
            <w:r>
              <w:rPr>
                <w:rFonts w:ascii="arial" w:hAnsi="arial"/>
                <w:b/>
                <w:color w:val="D8D8D8"/>
                <w:sz w:val="16"/>
              </w:rPr>
              <w:t>in 2020 ($)(1)    </w:t>
            </w:r>
          </w:p>
        </w:tc>
        <w:tc>
          <w:tcPr>
            <w:tcW w:w="136" w:type="dxa"/>
            <w:tcBorders/>
            <w:shd w:fill="00548B" w:val="clear"/>
            <w:vAlign w:val="bottom"/>
          </w:tcPr>
          <w:p>
            <w:pPr>
              <w:pStyle w:val="TableContents"/>
              <w:spacing w:before="0" w:after="283"/>
              <w:rPr/>
            </w:pPr>
            <w:r>
              <w:rPr/>
              <w:t> </w:t>
            </w:r>
          </w:p>
        </w:tc>
        <w:tc>
          <w:tcPr>
            <w:tcW w:w="1568" w:type="dxa"/>
            <w:tcBorders/>
            <w:shd w:fill="00548B" w:val="clear"/>
            <w:vAlign w:val="bottom"/>
          </w:tcPr>
          <w:p>
            <w:pPr>
              <w:pStyle w:val="TableContents"/>
              <w:spacing w:before="0" w:after="283"/>
              <w:jc w:val="center"/>
              <w:rPr>
                <w:b/>
                <w:color w:val="D8D8D8"/>
              </w:rPr>
            </w:pPr>
            <w:r>
              <w:rPr>
                <w:b/>
                <w:color w:val="D8D8D8"/>
              </w:rPr>
              <w:t>Company</w:t>
              <w:br/>
              <w:t>Contributions</w:t>
              <w:br/>
              <w:t>    in 2020 ($)    </w:t>
            </w:r>
          </w:p>
        </w:tc>
        <w:tc>
          <w:tcPr>
            <w:tcW w:w="136" w:type="dxa"/>
            <w:tcBorders/>
            <w:shd w:fill="00548B" w:val="clear"/>
            <w:vAlign w:val="bottom"/>
          </w:tcPr>
          <w:p>
            <w:pPr>
              <w:pStyle w:val="TableContents"/>
              <w:spacing w:before="0" w:after="283"/>
              <w:rPr/>
            </w:pPr>
            <w:r>
              <w:rPr/>
              <w:t> </w:t>
            </w:r>
          </w:p>
        </w:tc>
        <w:tc>
          <w:tcPr>
            <w:tcW w:w="1576" w:type="dxa"/>
            <w:gridSpan w:val="2"/>
            <w:tcBorders/>
            <w:shd w:fill="00548B" w:val="clear"/>
            <w:vAlign w:val="bottom"/>
          </w:tcPr>
          <w:p>
            <w:pPr>
              <w:pStyle w:val="TableContents"/>
              <w:spacing w:before="0" w:after="283"/>
              <w:jc w:val="center"/>
              <w:rPr>
                <w:b/>
                <w:color w:val="D8D8D8"/>
              </w:rPr>
            </w:pPr>
            <w:r>
              <w:rPr>
                <w:b/>
                <w:color w:val="D8D8D8"/>
              </w:rPr>
              <w:t>Aggregate</w:t>
              <w:br/>
              <w:t>Earnings/</w:t>
              <w:br/>
              <w:t>Losses</w:t>
              <w:br/>
              <w:t>    in 2020 ($)    </w:t>
            </w:r>
          </w:p>
        </w:tc>
        <w:tc>
          <w:tcPr>
            <w:tcW w:w="156" w:type="dxa"/>
            <w:tcBorders/>
            <w:shd w:fill="00548B" w:val="clear"/>
            <w:vAlign w:val="bottom"/>
          </w:tcPr>
          <w:p>
            <w:pPr>
              <w:pStyle w:val="TableContents"/>
              <w:spacing w:before="0" w:after="283"/>
              <w:rPr/>
            </w:pPr>
            <w:r>
              <w:rPr/>
              <w:t> </w:t>
            </w:r>
          </w:p>
        </w:tc>
        <w:tc>
          <w:tcPr>
            <w:tcW w:w="136" w:type="dxa"/>
            <w:tcBorders/>
            <w:shd w:fill="00548B" w:val="clear"/>
            <w:vAlign w:val="bottom"/>
          </w:tcPr>
          <w:p>
            <w:pPr>
              <w:pStyle w:val="TableContents"/>
              <w:spacing w:before="0" w:after="283"/>
              <w:rPr/>
            </w:pPr>
            <w:r>
              <w:rPr/>
              <w:t> </w:t>
            </w:r>
          </w:p>
        </w:tc>
        <w:tc>
          <w:tcPr>
            <w:tcW w:w="1568" w:type="dxa"/>
            <w:tcBorders/>
            <w:shd w:fill="00548B" w:val="clear"/>
            <w:vAlign w:val="bottom"/>
          </w:tcPr>
          <w:p>
            <w:pPr>
              <w:pStyle w:val="TableContents"/>
              <w:spacing w:before="0" w:after="283"/>
              <w:jc w:val="center"/>
              <w:rPr>
                <w:b/>
                <w:color w:val="D8D8D8"/>
              </w:rPr>
            </w:pPr>
            <w:r>
              <w:rPr>
                <w:b/>
                <w:color w:val="D8D8D8"/>
              </w:rPr>
              <w:t>Aggregate</w:t>
              <w:br/>
              <w:t>Withdrawals/</w:t>
              <w:br/>
              <w:t>Distributions</w:t>
              <w:br/>
              <w:t>    in 2020 ($)    </w:t>
            </w:r>
          </w:p>
        </w:tc>
        <w:tc>
          <w:tcPr>
            <w:tcW w:w="136" w:type="dxa"/>
            <w:tcBorders/>
            <w:shd w:fill="00548B" w:val="clear"/>
            <w:vAlign w:val="bottom"/>
          </w:tcPr>
          <w:p>
            <w:pPr>
              <w:pStyle w:val="TableContents"/>
              <w:spacing w:before="0" w:after="283"/>
              <w:rPr/>
            </w:pPr>
            <w:r>
              <w:rPr/>
              <w:t> </w:t>
            </w:r>
          </w:p>
        </w:tc>
        <w:tc>
          <w:tcPr>
            <w:tcW w:w="1671" w:type="dxa"/>
            <w:gridSpan w:val="2"/>
            <w:tcBorders/>
            <w:shd w:fill="00548B" w:val="clear"/>
            <w:vAlign w:val="bottom"/>
          </w:tcPr>
          <w:p>
            <w:pPr>
              <w:pStyle w:val="TableContents"/>
              <w:spacing w:before="0" w:after="283"/>
              <w:jc w:val="center"/>
              <w:rPr>
                <w:b/>
                <w:color w:val="D8D8D8"/>
              </w:rPr>
            </w:pPr>
            <w:r>
              <w:rPr>
                <w:b/>
                <w:color w:val="D8D8D8"/>
              </w:rPr>
              <w:t>Aggregate</w:t>
              <w:br/>
              <w:t>Balance as of</w:t>
              <w:br/>
              <w:t>    12/31/20 ($)    </w:t>
            </w:r>
          </w:p>
        </w:tc>
        <w:tc>
          <w:tcPr>
            <w:tcW w:w="166" w:type="dxa"/>
            <w:tcBorders/>
            <w:shd w:fill="00548B" w:val="clear"/>
            <w:vAlign w:val="bottom"/>
          </w:tcPr>
          <w:p>
            <w:pPr>
              <w:pStyle w:val="TableContents"/>
              <w:spacing w:before="0" w:after="283"/>
              <w:rPr/>
            </w:pPr>
            <w:r>
              <w:rPr/>
              <w:t> </w:t>
            </w:r>
          </w:p>
        </w:tc>
      </w:tr>
      <w:tr>
        <w:trPr/>
        <w:tc>
          <w:tcPr>
            <w:tcW w:w="1349"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James H. Roth</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1471"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1568"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98" w:type="dxa"/>
            <w:tcBorders>
              <w:bottom w:val="single" w:sz="2" w:space="0" w:color="999999"/>
            </w:tcBorders>
            <w:shd w:fill="auto" w:val="clear"/>
            <w:tcMar>
              <w:bottom w:w="28" w:type="dxa"/>
            </w:tcMar>
            <w:vAlign w:val="bottom"/>
          </w:tcPr>
          <w:p>
            <w:pPr>
              <w:pStyle w:val="TableContents"/>
              <w:spacing w:before="0" w:after="283"/>
              <w:rPr/>
            </w:pPr>
            <w:r>
              <w:rPr/>
              <w:t> </w:t>
            </w:r>
          </w:p>
        </w:tc>
        <w:tc>
          <w:tcPr>
            <w:tcW w:w="1478"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420,639</w:t>
            </w:r>
          </w:p>
        </w:tc>
        <w:tc>
          <w:tcPr>
            <w:tcW w:w="156" w:type="dxa"/>
            <w:tcBorders>
              <w:bottom w:val="single" w:sz="2" w:space="0" w:color="999999"/>
            </w:tcBorders>
            <w:shd w:fill="auto" w:val="clear"/>
            <w:tcMar>
              <w:bottom w:w="28" w:type="dxa"/>
            </w:tcMar>
            <w:vAlign w:val="bottom"/>
          </w:tcPr>
          <w:p>
            <w:pPr>
              <w:pStyle w:val="TableContents"/>
              <w:spacing w:before="0" w:after="283"/>
              <w:rPr/>
            </w:pPr>
            <w:r>
              <w:rPr/>
              <w:t> </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1568"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87" w:type="dxa"/>
            <w:tcBorders>
              <w:bottom w:val="single" w:sz="2" w:space="0" w:color="999999"/>
            </w:tcBorders>
            <w:shd w:fill="auto" w:val="clear"/>
            <w:tcMar>
              <w:bottom w:w="28" w:type="dxa"/>
            </w:tcMar>
            <w:vAlign w:val="bottom"/>
          </w:tcPr>
          <w:p>
            <w:pPr>
              <w:pStyle w:val="TableContents"/>
              <w:spacing w:before="0" w:after="283"/>
              <w:rPr/>
            </w:pPr>
            <w:r>
              <w:rPr/>
              <w:t> </w:t>
            </w:r>
          </w:p>
        </w:tc>
        <w:tc>
          <w:tcPr>
            <w:tcW w:w="158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3,780,737</w:t>
            </w:r>
          </w:p>
        </w:tc>
        <w:tc>
          <w:tcPr>
            <w:tcW w:w="166"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349"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C. Mark Hussey</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1471"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1568"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98" w:type="dxa"/>
            <w:tcBorders>
              <w:bottom w:val="single" w:sz="2" w:space="0" w:color="999999"/>
            </w:tcBorders>
            <w:shd w:fill="auto" w:val="clear"/>
            <w:tcMar>
              <w:bottom w:w="28" w:type="dxa"/>
            </w:tcMar>
            <w:vAlign w:val="bottom"/>
          </w:tcPr>
          <w:p>
            <w:pPr>
              <w:pStyle w:val="TableContents"/>
              <w:spacing w:before="0" w:after="283"/>
              <w:rPr/>
            </w:pPr>
            <w:r>
              <w:rPr/>
              <w:t> </w:t>
            </w:r>
          </w:p>
        </w:tc>
        <w:tc>
          <w:tcPr>
            <w:tcW w:w="1478"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232,893</w:t>
            </w:r>
          </w:p>
        </w:tc>
        <w:tc>
          <w:tcPr>
            <w:tcW w:w="156" w:type="dxa"/>
            <w:tcBorders>
              <w:bottom w:val="single" w:sz="2" w:space="0" w:color="999999"/>
            </w:tcBorders>
            <w:shd w:fill="auto" w:val="clear"/>
            <w:tcMar>
              <w:bottom w:w="28" w:type="dxa"/>
            </w:tcMar>
            <w:vAlign w:val="bottom"/>
          </w:tcPr>
          <w:p>
            <w:pPr>
              <w:pStyle w:val="TableContents"/>
              <w:spacing w:before="0" w:after="283"/>
              <w:rPr/>
            </w:pPr>
            <w:r>
              <w:rPr/>
              <w:t> </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1568"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87" w:type="dxa"/>
            <w:tcBorders>
              <w:bottom w:val="single" w:sz="2" w:space="0" w:color="999999"/>
            </w:tcBorders>
            <w:shd w:fill="auto" w:val="clear"/>
            <w:tcMar>
              <w:bottom w:w="28" w:type="dxa"/>
            </w:tcMar>
            <w:vAlign w:val="bottom"/>
          </w:tcPr>
          <w:p>
            <w:pPr>
              <w:pStyle w:val="TableContents"/>
              <w:spacing w:before="0" w:after="283"/>
              <w:rPr/>
            </w:pPr>
            <w:r>
              <w:rPr/>
              <w:t> </w:t>
            </w:r>
          </w:p>
        </w:tc>
        <w:tc>
          <w:tcPr>
            <w:tcW w:w="1584"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1,542,259</w:t>
            </w:r>
          </w:p>
        </w:tc>
        <w:tc>
          <w:tcPr>
            <w:tcW w:w="166"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349"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John D. Kelly</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1471"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1568"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98" w:type="dxa"/>
            <w:tcBorders>
              <w:bottom w:val="single" w:sz="2" w:space="0" w:color="999999"/>
            </w:tcBorders>
            <w:shd w:fill="auto" w:val="clear"/>
            <w:tcMar>
              <w:bottom w:w="28" w:type="dxa"/>
            </w:tcMar>
            <w:vAlign w:val="bottom"/>
          </w:tcPr>
          <w:p>
            <w:pPr>
              <w:pStyle w:val="TableContents"/>
              <w:spacing w:before="0" w:after="283"/>
              <w:rPr/>
            </w:pPr>
            <w:r>
              <w:rPr/>
              <w:t> </w:t>
            </w:r>
          </w:p>
        </w:tc>
        <w:tc>
          <w:tcPr>
            <w:tcW w:w="1478"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56" w:type="dxa"/>
            <w:tcBorders>
              <w:bottom w:val="single" w:sz="2" w:space="0" w:color="999999"/>
            </w:tcBorders>
            <w:shd w:fill="auto" w:val="clear"/>
            <w:tcMar>
              <w:bottom w:w="28" w:type="dxa"/>
            </w:tcMar>
            <w:vAlign w:val="bottom"/>
          </w:tcPr>
          <w:p>
            <w:pPr>
              <w:pStyle w:val="TableContents"/>
              <w:spacing w:before="0" w:after="283"/>
              <w:rPr/>
            </w:pPr>
            <w:r>
              <w:rPr/>
              <w:t> </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1568"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999999"/>
            </w:tcBorders>
            <w:shd w:fill="auto" w:val="clear"/>
            <w:tcMar>
              <w:bottom w:w="28" w:type="dxa"/>
            </w:tcMar>
            <w:vAlign w:val="bottom"/>
          </w:tcPr>
          <w:p>
            <w:pPr>
              <w:pStyle w:val="TableContents"/>
              <w:spacing w:before="0" w:after="283"/>
              <w:rPr/>
            </w:pPr>
            <w:r>
              <w:rPr/>
              <w:t> </w:t>
            </w:r>
          </w:p>
        </w:tc>
        <w:tc>
          <w:tcPr>
            <w:tcW w:w="87" w:type="dxa"/>
            <w:tcBorders>
              <w:bottom w:val="single" w:sz="2" w:space="0" w:color="999999"/>
            </w:tcBorders>
            <w:shd w:fill="auto" w:val="clear"/>
            <w:tcMar>
              <w:bottom w:w="28" w:type="dxa"/>
            </w:tcMar>
            <w:vAlign w:val="bottom"/>
          </w:tcPr>
          <w:p>
            <w:pPr>
              <w:pStyle w:val="TableContents"/>
              <w:spacing w:before="0" w:after="283"/>
              <w:rPr/>
            </w:pPr>
            <w:r>
              <w:rPr/>
              <w:t> </w:t>
            </w:r>
          </w:p>
        </w:tc>
        <w:tc>
          <w:tcPr>
            <w:tcW w:w="1584" w:type="dxa"/>
            <w:tcBorders>
              <w:bottom w:val="single" w:sz="2" w:space="0" w:color="999999"/>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66"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1349" w:type="dxa"/>
            <w:tcBorders>
              <w:bottom w:val="single" w:sz="2" w:space="0" w:color="00548B"/>
            </w:tcBorders>
            <w:shd w:fill="auto" w:val="clear"/>
            <w:tcMar>
              <w:bottom w:w="28" w:type="dxa"/>
            </w:tcMar>
          </w:tcPr>
          <w:p>
            <w:pPr>
              <w:pStyle w:val="TableContents"/>
              <w:spacing w:before="0" w:after="0"/>
              <w:rPr>
                <w:rFonts w:ascii="arial" w:hAnsi="arial"/>
                <w:sz w:val="18"/>
              </w:rPr>
            </w:pPr>
            <w:r>
              <w:rPr>
                <w:rFonts w:ascii="arial" w:hAnsi="arial"/>
                <w:sz w:val="18"/>
              </w:rPr>
              <w:t>Diane E. Ratekin</w:t>
            </w:r>
          </w:p>
        </w:tc>
        <w:tc>
          <w:tcPr>
            <w:tcW w:w="136" w:type="dxa"/>
            <w:tcBorders>
              <w:bottom w:val="single" w:sz="2" w:space="0" w:color="00548B"/>
            </w:tcBorders>
            <w:shd w:fill="auto" w:val="clear"/>
            <w:tcMar>
              <w:bottom w:w="28" w:type="dxa"/>
            </w:tcMar>
            <w:vAlign w:val="bottom"/>
          </w:tcPr>
          <w:p>
            <w:pPr>
              <w:pStyle w:val="TableContents"/>
              <w:spacing w:before="0" w:after="283"/>
              <w:rPr/>
            </w:pPr>
            <w:r>
              <w:rPr/>
              <w:t> </w:t>
            </w:r>
          </w:p>
        </w:tc>
        <w:tc>
          <w:tcPr>
            <w:tcW w:w="1471"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00548B"/>
            </w:tcBorders>
            <w:shd w:fill="auto" w:val="clear"/>
            <w:tcMar>
              <w:bottom w:w="28" w:type="dxa"/>
            </w:tcMar>
            <w:vAlign w:val="bottom"/>
          </w:tcPr>
          <w:p>
            <w:pPr>
              <w:pStyle w:val="TableContents"/>
              <w:spacing w:before="0" w:after="283"/>
              <w:rPr/>
            </w:pPr>
            <w:r>
              <w:rPr/>
              <w:t> </w:t>
            </w:r>
          </w:p>
        </w:tc>
        <w:tc>
          <w:tcPr>
            <w:tcW w:w="1568"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00548B"/>
            </w:tcBorders>
            <w:shd w:fill="auto" w:val="clear"/>
            <w:tcMar>
              <w:bottom w:w="28" w:type="dxa"/>
            </w:tcMar>
            <w:vAlign w:val="bottom"/>
          </w:tcPr>
          <w:p>
            <w:pPr>
              <w:pStyle w:val="TableContents"/>
              <w:spacing w:before="0" w:after="283"/>
              <w:rPr/>
            </w:pPr>
            <w:r>
              <w:rPr/>
              <w:t> </w:t>
            </w:r>
          </w:p>
        </w:tc>
        <w:tc>
          <w:tcPr>
            <w:tcW w:w="98" w:type="dxa"/>
            <w:tcBorders>
              <w:bottom w:val="single" w:sz="2" w:space="0" w:color="00548B"/>
            </w:tcBorders>
            <w:shd w:fill="auto" w:val="clear"/>
            <w:tcMar>
              <w:bottom w:w="28" w:type="dxa"/>
            </w:tcMar>
            <w:vAlign w:val="bottom"/>
          </w:tcPr>
          <w:p>
            <w:pPr>
              <w:pStyle w:val="TableContents"/>
              <w:spacing w:before="0" w:after="283"/>
              <w:rPr/>
            </w:pPr>
            <w:r>
              <w:rPr/>
              <w:t> </w:t>
            </w:r>
          </w:p>
        </w:tc>
        <w:tc>
          <w:tcPr>
            <w:tcW w:w="1478"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44,253</w:t>
            </w:r>
          </w:p>
        </w:tc>
        <w:tc>
          <w:tcPr>
            <w:tcW w:w="156" w:type="dxa"/>
            <w:tcBorders>
              <w:bottom w:val="single" w:sz="2" w:space="0" w:color="00548B"/>
            </w:tcBorders>
            <w:shd w:fill="auto" w:val="clear"/>
            <w:tcMar>
              <w:bottom w:w="28" w:type="dxa"/>
            </w:tcMar>
            <w:vAlign w:val="bottom"/>
          </w:tcPr>
          <w:p>
            <w:pPr>
              <w:pStyle w:val="TableContents"/>
              <w:spacing w:before="0" w:after="283"/>
              <w:rPr/>
            </w:pPr>
            <w:r>
              <w:rPr/>
              <w:t> </w:t>
            </w:r>
          </w:p>
        </w:tc>
        <w:tc>
          <w:tcPr>
            <w:tcW w:w="136" w:type="dxa"/>
            <w:tcBorders>
              <w:bottom w:val="single" w:sz="2" w:space="0" w:color="00548B"/>
            </w:tcBorders>
            <w:shd w:fill="auto" w:val="clear"/>
            <w:tcMar>
              <w:bottom w:w="28" w:type="dxa"/>
            </w:tcMar>
            <w:vAlign w:val="bottom"/>
          </w:tcPr>
          <w:p>
            <w:pPr>
              <w:pStyle w:val="TableContents"/>
              <w:spacing w:before="0" w:after="283"/>
              <w:rPr/>
            </w:pPr>
            <w:r>
              <w:rPr/>
              <w:t> </w:t>
            </w:r>
          </w:p>
        </w:tc>
        <w:tc>
          <w:tcPr>
            <w:tcW w:w="1568" w:type="dxa"/>
            <w:tcBorders>
              <w:bottom w:val="single" w:sz="2" w:space="0" w:color="00548B"/>
            </w:tcBorders>
            <w:shd w:fill="auto" w:val="clear"/>
            <w:tcMar>
              <w:bottom w:w="28" w:type="dxa"/>
            </w:tcMar>
            <w:vAlign w:val="bottom"/>
          </w:tcPr>
          <w:p>
            <w:pPr>
              <w:pStyle w:val="TableContents"/>
              <w:spacing w:before="0" w:after="283"/>
              <w:jc w:val="center"/>
              <w:rPr>
                <w:rFonts w:ascii="ARIAL" w:hAnsi="ARIAL"/>
              </w:rPr>
            </w:pPr>
            <w:r>
              <w:rPr>
                <w:rFonts w:ascii="ARIAL" w:hAnsi="ARIAL"/>
              </w:rPr>
              <w:t></w:t>
            </w:r>
          </w:p>
        </w:tc>
        <w:tc>
          <w:tcPr>
            <w:tcW w:w="136" w:type="dxa"/>
            <w:tcBorders>
              <w:bottom w:val="single" w:sz="2" w:space="0" w:color="00548B"/>
            </w:tcBorders>
            <w:shd w:fill="auto" w:val="clear"/>
            <w:tcMar>
              <w:bottom w:w="28" w:type="dxa"/>
            </w:tcMar>
            <w:vAlign w:val="bottom"/>
          </w:tcPr>
          <w:p>
            <w:pPr>
              <w:pStyle w:val="TableContents"/>
              <w:spacing w:before="0" w:after="283"/>
              <w:rPr/>
            </w:pPr>
            <w:r>
              <w:rPr/>
              <w:t> </w:t>
            </w:r>
          </w:p>
        </w:tc>
        <w:tc>
          <w:tcPr>
            <w:tcW w:w="87" w:type="dxa"/>
            <w:tcBorders>
              <w:bottom w:val="single" w:sz="2" w:space="0" w:color="00548B"/>
            </w:tcBorders>
            <w:shd w:fill="auto" w:val="clear"/>
            <w:tcMar>
              <w:bottom w:w="28" w:type="dxa"/>
            </w:tcMar>
            <w:vAlign w:val="bottom"/>
          </w:tcPr>
          <w:p>
            <w:pPr>
              <w:pStyle w:val="TableContents"/>
              <w:spacing w:before="0" w:after="283"/>
              <w:rPr/>
            </w:pPr>
            <w:r>
              <w:rPr/>
              <w:t> </w:t>
            </w:r>
          </w:p>
        </w:tc>
        <w:tc>
          <w:tcPr>
            <w:tcW w:w="1584" w:type="dxa"/>
            <w:tcBorders>
              <w:bottom w:val="single" w:sz="2" w:space="0" w:color="00548B"/>
            </w:tcBorders>
            <w:shd w:fill="auto" w:val="clear"/>
            <w:tcMar>
              <w:bottom w:w="28" w:type="dxa"/>
            </w:tcMar>
            <w:vAlign w:val="bottom"/>
          </w:tcPr>
          <w:p>
            <w:pPr>
              <w:pStyle w:val="TableContents"/>
              <w:spacing w:before="0" w:after="283"/>
              <w:jc w:val="right"/>
              <w:rPr>
                <w:rFonts w:ascii="ARIAL" w:hAnsi="ARIAL"/>
              </w:rPr>
            </w:pPr>
            <w:r>
              <w:rPr>
                <w:rFonts w:ascii="ARIAL" w:hAnsi="ARIAL"/>
              </w:rPr>
              <w:t>222,457</w:t>
            </w:r>
          </w:p>
        </w:tc>
        <w:tc>
          <w:tcPr>
            <w:tcW w:w="166"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(1)</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There were no executive contributions made to the DCP for 2020. </w:t>
            </w:r>
          </w:p>
        </w:tc>
      </w:tr>
    </w:tbl>
    <w:p>
      <w:pPr>
        <w:pStyle w:val="TextBody"/>
        <w:spacing w:before="200" w:after="0"/>
        <w:jc w:val="both"/>
        <w:rPr>
          <w:rFonts w:ascii="arial" w:hAnsi="arial"/>
          <w:sz w:val="18"/>
        </w:rPr>
      </w:pPr>
      <w:r>
        <w:rPr>
          <w:rFonts w:ascii="arial" w:hAnsi="arial"/>
          <w:sz w:val="18"/>
        </w:rPr>
        <w:t xml:space="preserve">The Company maintains the DCP, which became effective July 1, 2006. The DCP permits managing directors, corporate vice presidents and named executive officers to elect to defer up to 75% of their base salary and 100% of their annual cash incentive into a deferred compensation account and to choose from a number of investment alternatives . Earnings are credited based on the returns of the investment options selected by the participant. Huron does not match any amounts deferred or otherwise contribute to the DCP except to make restoration payments to the accounts of participants who do not receive the maximum eligible 401(k) match as a result of participation in the DCP. Deferral elections for base salary and any guaranteed bonus must be made in the calendar year prior to earning such base salary or within 30 days of becoming eligible for the plan. The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Company requires that deferral elections of the annual cash incentive must be made 12 months prior to the end of the applicable performance period. Non-employee directors may also defer up to 100% of their retainer and meeting fees into the DCP. </w:t>
      </w:r>
    </w:p>
    <w:p>
      <w:pPr>
        <w:pStyle w:val="TextBody"/>
        <w:spacing w:before="200" w:after="0"/>
        <w:jc w:val="both"/>
        <w:rPr>
          <w:rFonts w:ascii="arial" w:hAnsi="arial"/>
          <w:sz w:val="18"/>
        </w:rPr>
      </w:pPr>
      <w:r>
        <w:rPr>
          <w:rFonts w:ascii="arial" w:hAnsi="arial"/>
          <w:sz w:val="18"/>
        </w:rPr>
        <w:t xml:space="preserve">Payments from the plan automatically begin upon termination of employment or separation from service as a director. Key employees, including executive officers, must wait six months after termination to receive payment from the plan. Participants may elect payment in a lump sum or annual installments for up to 15 years. Upon proof of financial hardship and approval from the Compensation Committee, a participant may be allowed an early distribution. Participants may also elect to receive payments prior to termination through a scheduled distribution.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10205"/>
      </w:tblGrid>
      <w:tr>
        <w:trPr/>
        <w:tc>
          <w:tcPr>
            <w:tcW w:w="10205" w:type="dxa"/>
            <w:tcBorders/>
            <w:shd w:fill="auto" w:val="clear"/>
            <w:vAlign w:val="center"/>
          </w:tcPr>
          <w:p>
            <w:pPr>
              <w:pStyle w:val="TableContents"/>
              <w:spacing w:before="0" w:after="283"/>
              <w:rPr>
                <w:sz w:val="4"/>
                <w:szCs w:val="4"/>
              </w:rPr>
            </w:pPr>
            <w:r>
              <w:rPr>
                <w:sz w:val="4"/>
                <w:szCs w:val="4"/>
              </w:rPr>
            </w:r>
          </w:p>
        </w:tc>
      </w:tr>
      <w:tr>
        <w:trPr/>
        <w:tc>
          <w:tcPr>
            <w:tcW w:w="10205" w:type="dxa"/>
            <w:tcBorders/>
            <w:shd w:fill="00548B" w:val="clear"/>
            <w:vAlign w:val="center"/>
          </w:tcPr>
          <w:p>
            <w:pPr>
              <w:pStyle w:val="TableContents"/>
              <w:spacing w:before="0" w:after="0"/>
              <w:rPr/>
            </w:pPr>
            <w:r>
              <w:rPr/>
              <w:t> </w:t>
            </w:r>
          </w:p>
          <w:p>
            <w:pPr>
              <w:pStyle w:val="TableContents"/>
              <w:spacing w:before="0" w:after="20"/>
              <w:jc w:val="center"/>
              <w:rPr>
                <w:rFonts w:ascii="arial" w:hAnsi="arial"/>
                <w:b/>
                <w:color w:val="D8D8D8"/>
                <w:sz w:val="20"/>
              </w:rPr>
            </w:pPr>
            <w:bookmarkStart w:id="31" w:name="toc170561_29"/>
            <w:bookmarkEnd w:id="31"/>
            <w:r>
              <w:rPr>
                <w:rFonts w:ascii="arial" w:hAnsi="arial"/>
                <w:b/>
                <w:color w:val="D8D8D8"/>
                <w:sz w:val="20"/>
              </w:rPr>
              <w:t>POTENTIAL PAYMENTS UPON TERMINATION OR CHANGE OF CONTROL</w:t>
            </w:r>
          </w:p>
        </w:tc>
      </w:tr>
    </w:tbl>
    <w:p>
      <w:pPr>
        <w:pStyle w:val="TextBody"/>
        <w:spacing w:before="200" w:after="0"/>
        <w:jc w:val="both"/>
        <w:rPr>
          <w:rFonts w:ascii="arial" w:hAnsi="arial"/>
          <w:b/>
          <w:i/>
          <w:color w:val="00548B"/>
          <w:sz w:val="18"/>
        </w:rPr>
      </w:pPr>
      <w:r>
        <w:rPr>
          <w:rFonts w:ascii="arial" w:hAnsi="arial"/>
          <w:b/>
          <w:i/>
          <w:color w:val="00548B"/>
          <w:sz w:val="18"/>
        </w:rPr>
        <w:t xml:space="preserve">Background </w:t>
      </w:r>
    </w:p>
    <w:p>
      <w:pPr>
        <w:pStyle w:val="TextBody"/>
        <w:spacing w:before="0" w:after="0"/>
        <w:jc w:val="both"/>
        <w:rPr>
          <w:rFonts w:ascii="arial" w:hAnsi="arial"/>
          <w:sz w:val="18"/>
        </w:rPr>
      </w:pPr>
      <w:r>
        <w:rPr>
          <w:rFonts w:ascii="arial" w:hAnsi="arial"/>
          <w:sz w:val="18"/>
        </w:rPr>
        <w:t xml:space="preserve">We have entered into agreements and maintain plans and arrangements that require us to pay or provide compensation and benefits to each of the named executive officers in the event of certain terminations of employment or a change of control. </w:t>
      </w:r>
    </w:p>
    <w:p>
      <w:pPr>
        <w:pStyle w:val="TextBody"/>
        <w:spacing w:before="200" w:after="0"/>
        <w:jc w:val="both"/>
        <w:rPr>
          <w:rFonts w:ascii="arial" w:hAnsi="arial"/>
          <w:b/>
          <w:i/>
          <w:color w:val="00548B"/>
          <w:sz w:val="18"/>
        </w:rPr>
      </w:pPr>
      <w:r>
        <w:rPr>
          <w:rFonts w:ascii="arial" w:hAnsi="arial"/>
          <w:b/>
          <w:i/>
          <w:color w:val="00548B"/>
          <w:sz w:val="18"/>
        </w:rPr>
        <w:t xml:space="preserve">Senior Management Agreements </w:t>
      </w:r>
    </w:p>
    <w:p>
      <w:pPr>
        <w:pStyle w:val="TextBody"/>
        <w:spacing w:before="0" w:after="0"/>
        <w:jc w:val="both"/>
        <w:rPr>
          <w:rFonts w:ascii="arial" w:hAnsi="arial"/>
          <w:sz w:val="18"/>
        </w:rPr>
      </w:pPr>
      <w:r>
        <w:rPr>
          <w:rFonts w:ascii="arial" w:hAnsi="arial"/>
          <w:sz w:val="18"/>
        </w:rPr>
        <w:t xml:space="preserve">Mr. Roths agreement covers a term beginning on January 1, 2017 and continues for three years from that date. Following the expiration of that initial three-year term, his agreement will be automatically renewed every year, unless Mr. Roth or the Company provides 60 days notice to the other that such automatic renewal shall cease. The agreement may be earlier terminated by Mr. Roth or the Company pursuant to its terms. </w:t>
      </w:r>
    </w:p>
    <w:p>
      <w:pPr>
        <w:pStyle w:val="TextBody"/>
        <w:spacing w:before="200" w:after="0"/>
        <w:jc w:val="both"/>
        <w:rPr>
          <w:rFonts w:ascii="arial" w:hAnsi="arial"/>
          <w:sz w:val="18"/>
        </w:rPr>
      </w:pPr>
      <w:r>
        <w:rPr>
          <w:rFonts w:ascii="arial" w:hAnsi="arial"/>
          <w:sz w:val="18"/>
        </w:rPr>
        <w:t xml:space="preserve">Mr. Hussey, Mr. Kelly, and Mr. Torains agreements provide that employment will continue unless either the Company or the executive delivers to the other 60 days advance written notice of the cessation of employment. These may be earlier terminated by the executive or the Company pursuant to their terms. </w:t>
      </w:r>
    </w:p>
    <w:p>
      <w:pPr>
        <w:pStyle w:val="TextBody"/>
        <w:spacing w:before="200" w:after="0"/>
        <w:jc w:val="both"/>
        <w:rPr>
          <w:rFonts w:ascii="arial" w:hAnsi="arial"/>
          <w:sz w:val="18"/>
        </w:rPr>
      </w:pPr>
      <w:r>
        <w:rPr>
          <w:rFonts w:ascii="arial" w:hAnsi="arial"/>
          <w:sz w:val="18"/>
        </w:rPr>
        <w:t xml:space="preserve">The Company and Ms. Ratekin have entered into a Transitional Retirement Agreement in connection with Ms. Ratekins retirement as Executive Vice President, General Counsel and Corporate Secretary of the Company. Ms. Ratekin will serve as an advisor to the board of directors of the Company and the successor General Counsel until April 1, 2021. </w:t>
      </w:r>
    </w:p>
    <w:p>
      <w:pPr>
        <w:pStyle w:val="TextBody"/>
        <w:spacing w:before="200" w:after="0"/>
        <w:jc w:val="both"/>
        <w:rPr>
          <w:rFonts w:ascii="arial" w:hAnsi="arial"/>
          <w:sz w:val="18"/>
        </w:rPr>
      </w:pPr>
      <w:r>
        <w:rPr>
          <w:rFonts w:ascii="arial" w:hAnsi="arial"/>
          <w:sz w:val="18"/>
        </w:rPr>
        <w:t xml:space="preserve">Beginning January 1, 2020, Ms. Ratekin will continue to receive her current base salary, annual bonus (fixed at $200,000 in cash and $138,000 in restricted stock), and other welfare benefits and executive perquisites. Ms. Ratekins annual bonus will be prorated if her employment terminates after December 31, 2020. Ms. Ratekin will not be eligible for a 2020 performance stock unit (PSU) grant for the 2020-2022 performance period. All outstanding equity awards will continue to vest as provided under the terms of the Companys equity based incentive plans and any applicable award agreements based upon a qualifying retirement and any stock options will remain exercisable for the balance of their terms. All PSUs for the 2018-2020 performance period will vest based on the Companys actual performance and will be paid when and if paid to all other Company executives. The PSUs for the 2019-2021 performance period will be prorated and will vest based on the Companys actual performance and will be paid when and if paid to all other Company executives. </w:t>
      </w:r>
    </w:p>
    <w:p>
      <w:pPr>
        <w:pStyle w:val="TextBody"/>
        <w:spacing w:before="200" w:after="0"/>
        <w:jc w:val="both"/>
        <w:rPr>
          <w:rFonts w:ascii="arial" w:hAnsi="arial"/>
          <w:sz w:val="18"/>
        </w:rPr>
      </w:pPr>
      <w:r>
        <w:rPr>
          <w:rFonts w:ascii="arial" w:hAnsi="arial"/>
          <w:sz w:val="18"/>
        </w:rPr>
        <w:t xml:space="preserve">The following table summarizes how unvested equity awards will be addressed in the event of a termination under the Senior Management Agreements or, in the case of Ms. Ratekin, under the Transitional Retirement Agreement, that were in effect during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3578"/>
        <w:gridCol w:w="104"/>
        <w:gridCol w:w="3261"/>
        <w:gridCol w:w="105"/>
        <w:gridCol w:w="3157"/>
      </w:tblGrid>
      <w:tr>
        <w:trPr/>
        <w:tc>
          <w:tcPr>
            <w:tcW w:w="3578" w:type="dxa"/>
            <w:tcBorders/>
            <w:shd w:fill="auto" w:val="clear"/>
            <w:vAlign w:val="center"/>
          </w:tcPr>
          <w:p>
            <w:pPr>
              <w:pStyle w:val="TableContents"/>
              <w:spacing w:before="0" w:after="283"/>
              <w:rPr>
                <w:sz w:val="4"/>
                <w:szCs w:val="4"/>
              </w:rPr>
            </w:pPr>
            <w:r>
              <w:rPr>
                <w:sz w:val="4"/>
                <w:szCs w:val="4"/>
              </w:rPr>
            </w:r>
          </w:p>
        </w:tc>
        <w:tc>
          <w:tcPr>
            <w:tcW w:w="104" w:type="dxa"/>
            <w:tcBorders/>
            <w:shd w:fill="auto" w:val="clear"/>
            <w:vAlign w:val="bottom"/>
          </w:tcPr>
          <w:p>
            <w:pPr>
              <w:pStyle w:val="TableContents"/>
              <w:spacing w:before="0" w:after="283"/>
              <w:rPr>
                <w:sz w:val="4"/>
                <w:szCs w:val="4"/>
              </w:rPr>
            </w:pPr>
            <w:r>
              <w:rPr>
                <w:sz w:val="4"/>
                <w:szCs w:val="4"/>
              </w:rPr>
            </w:r>
          </w:p>
        </w:tc>
        <w:tc>
          <w:tcPr>
            <w:tcW w:w="3261"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157" w:type="dxa"/>
            <w:tcBorders/>
            <w:shd w:fill="auto" w:val="clear"/>
            <w:vAlign w:val="center"/>
          </w:tcPr>
          <w:p>
            <w:pPr>
              <w:pStyle w:val="TableContents"/>
              <w:spacing w:before="0" w:after="283"/>
              <w:rPr>
                <w:sz w:val="4"/>
                <w:szCs w:val="4"/>
              </w:rPr>
            </w:pPr>
            <w:r>
              <w:rPr>
                <w:sz w:val="4"/>
                <w:szCs w:val="4"/>
              </w:rPr>
            </w:r>
          </w:p>
        </w:tc>
      </w:tr>
      <w:tr>
        <w:trPr/>
        <w:tc>
          <w:tcPr>
            <w:tcW w:w="3578" w:type="dxa"/>
            <w:tcBorders>
              <w:top w:val="single" w:sz="2" w:space="0" w:color="00548B"/>
              <w:left w:val="single" w:sz="2" w:space="0" w:color="00548B"/>
            </w:tcBorders>
            <w:shd w:fill="00548B" w:val="clear"/>
            <w:tcMar>
              <w:top w:w="28" w:type="dxa"/>
              <w:left w:w="160" w:type="dxa"/>
            </w:tcMar>
            <w:vAlign w:val="bottom"/>
          </w:tcPr>
          <w:p>
            <w:pPr>
              <w:pStyle w:val="TableContents"/>
              <w:spacing w:before="0" w:after="283"/>
              <w:jc w:val="center"/>
              <w:rPr>
                <w:b/>
                <w:color w:val="E5E5E5"/>
              </w:rPr>
            </w:pPr>
            <w:r>
              <w:rPr>
                <w:b/>
                <w:color w:val="E5E5E5"/>
              </w:rPr>
              <w:t>Event</w:t>
            </w:r>
          </w:p>
        </w:tc>
        <w:tc>
          <w:tcPr>
            <w:tcW w:w="104" w:type="dxa"/>
            <w:tcBorders>
              <w:top w:val="single" w:sz="2" w:space="0" w:color="00548B"/>
              <w:left w:val="single" w:sz="2" w:space="0" w:color="999999"/>
            </w:tcBorders>
            <w:shd w:fill="00548B" w:val="clear"/>
            <w:tcMar>
              <w:top w:w="28" w:type="dxa"/>
              <w:left w:w="28" w:type="dxa"/>
            </w:tcMar>
            <w:vAlign w:val="bottom"/>
          </w:tcPr>
          <w:p>
            <w:pPr>
              <w:pStyle w:val="TableContents"/>
              <w:spacing w:before="0" w:after="283"/>
              <w:rPr/>
            </w:pPr>
            <w:r>
              <w:rPr/>
              <w:t> </w:t>
            </w:r>
          </w:p>
        </w:tc>
        <w:tc>
          <w:tcPr>
            <w:tcW w:w="3261" w:type="dxa"/>
            <w:tcBorders>
              <w:top w:val="single" w:sz="2" w:space="0" w:color="00548B"/>
              <w:right w:val="single" w:sz="2" w:space="0" w:color="999999"/>
            </w:tcBorders>
            <w:shd w:fill="00548B" w:val="clear"/>
            <w:tcMar>
              <w:top w:w="28" w:type="dxa"/>
              <w:right w:w="28" w:type="dxa"/>
            </w:tcMar>
            <w:vAlign w:val="bottom"/>
          </w:tcPr>
          <w:p>
            <w:pPr>
              <w:pStyle w:val="TableContents"/>
              <w:spacing w:before="0" w:after="283"/>
              <w:jc w:val="center"/>
              <w:rPr>
                <w:b/>
                <w:color w:val="E5E5E5"/>
              </w:rPr>
            </w:pPr>
            <w:r>
              <w:rPr>
                <w:b/>
                <w:color w:val="E5E5E5"/>
              </w:rPr>
              <w:t>Restricted Stock and Options</w:t>
            </w:r>
          </w:p>
        </w:tc>
        <w:tc>
          <w:tcPr>
            <w:tcW w:w="105" w:type="dxa"/>
            <w:tcBorders>
              <w:top w:val="single" w:sz="2" w:space="0" w:color="00548B"/>
              <w:left w:val="single" w:sz="2" w:space="0" w:color="999999"/>
            </w:tcBorders>
            <w:shd w:fill="00548B" w:val="clear"/>
            <w:tcMar>
              <w:top w:w="28" w:type="dxa"/>
              <w:left w:w="28" w:type="dxa"/>
            </w:tcMar>
            <w:vAlign w:val="bottom"/>
          </w:tcPr>
          <w:p>
            <w:pPr>
              <w:pStyle w:val="TableContents"/>
              <w:spacing w:before="0" w:after="283"/>
              <w:rPr/>
            </w:pPr>
            <w:r>
              <w:rPr/>
              <w:t> </w:t>
            </w:r>
          </w:p>
        </w:tc>
        <w:tc>
          <w:tcPr>
            <w:tcW w:w="3157" w:type="dxa"/>
            <w:tcBorders>
              <w:top w:val="single" w:sz="2" w:space="0" w:color="00548B"/>
              <w:right w:val="single" w:sz="2" w:space="0" w:color="00548B"/>
            </w:tcBorders>
            <w:shd w:fill="00548B" w:val="clear"/>
            <w:tcMar>
              <w:top w:w="28" w:type="dxa"/>
              <w:right w:w="40" w:type="dxa"/>
            </w:tcMar>
            <w:vAlign w:val="bottom"/>
          </w:tcPr>
          <w:p>
            <w:pPr>
              <w:pStyle w:val="TableContents"/>
              <w:spacing w:before="0" w:after="283"/>
              <w:jc w:val="center"/>
              <w:rPr>
                <w:b/>
                <w:color w:val="E5E5E5"/>
              </w:rPr>
            </w:pPr>
            <w:r>
              <w:rPr>
                <w:b/>
                <w:color w:val="E5E5E5"/>
              </w:rPr>
              <w:t>2018, 2019, and 2020</w:t>
              <w:br/>
              <w:t>Performance Stock Units</w:t>
            </w:r>
          </w:p>
        </w:tc>
      </w:tr>
      <w:tr>
        <w:trPr/>
        <w:tc>
          <w:tcPr>
            <w:tcW w:w="3578" w:type="dxa"/>
            <w:tcBorders>
              <w:left w:val="single" w:sz="2" w:space="0" w:color="00548B"/>
              <w:bottom w:val="single" w:sz="2" w:space="0" w:color="999999"/>
            </w:tcBorders>
            <w:shd w:fill="auto" w:val="clear"/>
            <w:tcMar>
              <w:left w:w="160" w:type="dxa"/>
              <w:bottom w:w="28" w:type="dxa"/>
            </w:tcMar>
          </w:tcPr>
          <w:p>
            <w:pPr>
              <w:pStyle w:val="TableContents"/>
              <w:spacing w:before="0" w:after="283"/>
              <w:rPr/>
            </w:pPr>
            <w:r>
              <w:rPr/>
              <w:t>Normal Vesting</w:t>
            </w:r>
          </w:p>
        </w:tc>
        <w:tc>
          <w:tcPr>
            <w:tcW w:w="104"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261" w:type="dxa"/>
            <w:tcBorders>
              <w:bottom w:val="single" w:sz="2" w:space="0" w:color="999999"/>
              <w:right w:val="single" w:sz="2" w:space="0" w:color="999999"/>
            </w:tcBorders>
            <w:shd w:fill="auto" w:val="clear"/>
            <w:tcMar>
              <w:bottom w:w="28" w:type="dxa"/>
              <w:right w:w="28" w:type="dxa"/>
            </w:tcMar>
          </w:tcPr>
          <w:p>
            <w:pPr>
              <w:pStyle w:val="TableContents"/>
              <w:spacing w:before="0" w:after="283"/>
              <w:rPr/>
            </w:pPr>
            <w:r>
              <w:rPr/>
              <w:t>33% annual vesting over 3 years for awards granted on or after 3/15/2017; 25% annual vesting over 4 years for those awards granted prior to 3/15/2017 and for the award granted to C. Mark Hussey on 8/21/2017.</w:t>
            </w:r>
          </w:p>
        </w:tc>
        <w:tc>
          <w:tcPr>
            <w:tcW w:w="10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157" w:type="dxa"/>
            <w:tcBorders>
              <w:bottom w:val="single" w:sz="2" w:space="0" w:color="999999"/>
              <w:right w:val="single" w:sz="2" w:space="0" w:color="00548B"/>
            </w:tcBorders>
            <w:shd w:fill="auto" w:val="clear"/>
            <w:tcMar>
              <w:bottom w:w="28" w:type="dxa"/>
              <w:right w:w="40" w:type="dxa"/>
            </w:tcMar>
          </w:tcPr>
          <w:p>
            <w:pPr>
              <w:pStyle w:val="TableContents"/>
              <w:spacing w:before="0" w:after="283"/>
              <w:rPr/>
            </w:pPr>
            <w:r>
              <w:rPr/>
              <w:t>100% of the earned PSUs vest in Q1 of the year following the end of the three year Performance Period provided that executive remains employed at Huron through the Performance Period.</w:t>
            </w:r>
          </w:p>
        </w:tc>
      </w:tr>
      <w:tr>
        <w:trPr/>
        <w:tc>
          <w:tcPr>
            <w:tcW w:w="3578" w:type="dxa"/>
            <w:tcBorders>
              <w:left w:val="single" w:sz="2" w:space="0" w:color="00548B"/>
              <w:bottom w:val="single" w:sz="2" w:space="0" w:color="999999"/>
            </w:tcBorders>
            <w:shd w:fill="auto" w:val="clear"/>
            <w:tcMar>
              <w:left w:w="160" w:type="dxa"/>
              <w:bottom w:w="28" w:type="dxa"/>
            </w:tcMar>
          </w:tcPr>
          <w:p>
            <w:pPr>
              <w:pStyle w:val="TableContents"/>
              <w:spacing w:before="0" w:after="283"/>
              <w:rPr/>
            </w:pPr>
            <w:r>
              <w:rPr/>
              <w:t>Voluntary Termination</w:t>
            </w:r>
          </w:p>
        </w:tc>
        <w:tc>
          <w:tcPr>
            <w:tcW w:w="104"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261" w:type="dxa"/>
            <w:tcBorders>
              <w:bottom w:val="single" w:sz="2" w:space="0" w:color="999999"/>
              <w:right w:val="single" w:sz="2" w:space="0" w:color="999999"/>
            </w:tcBorders>
            <w:shd w:fill="auto" w:val="clear"/>
            <w:tcMar>
              <w:bottom w:w="28" w:type="dxa"/>
              <w:right w:w="28" w:type="dxa"/>
            </w:tcMar>
          </w:tcPr>
          <w:p>
            <w:pPr>
              <w:pStyle w:val="TableContents"/>
              <w:spacing w:before="0" w:after="283"/>
              <w:rPr/>
            </w:pPr>
            <w:r>
              <w:rPr/>
              <w:t>Forfeit.</w:t>
            </w:r>
          </w:p>
        </w:tc>
        <w:tc>
          <w:tcPr>
            <w:tcW w:w="10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157" w:type="dxa"/>
            <w:tcBorders>
              <w:bottom w:val="single" w:sz="2" w:space="0" w:color="999999"/>
              <w:right w:val="single" w:sz="2" w:space="0" w:color="00548B"/>
            </w:tcBorders>
            <w:shd w:fill="auto" w:val="clear"/>
            <w:tcMar>
              <w:bottom w:w="28" w:type="dxa"/>
              <w:right w:w="40" w:type="dxa"/>
            </w:tcMar>
          </w:tcPr>
          <w:p>
            <w:pPr>
              <w:pStyle w:val="TableContents"/>
              <w:spacing w:before="0" w:after="283"/>
              <w:rPr/>
            </w:pPr>
            <w:r>
              <w:rPr/>
              <w:t>Forfeit.</w:t>
            </w:r>
          </w:p>
        </w:tc>
      </w:tr>
      <w:tr>
        <w:trPr/>
        <w:tc>
          <w:tcPr>
            <w:tcW w:w="3578" w:type="dxa"/>
            <w:tcBorders>
              <w:left w:val="single" w:sz="2" w:space="0" w:color="00548B"/>
              <w:bottom w:val="single" w:sz="2" w:space="0" w:color="999999"/>
            </w:tcBorders>
            <w:shd w:fill="auto" w:val="clear"/>
            <w:tcMar>
              <w:left w:w="160" w:type="dxa"/>
              <w:bottom w:w="28" w:type="dxa"/>
            </w:tcMar>
          </w:tcPr>
          <w:p>
            <w:pPr>
              <w:pStyle w:val="TableContents"/>
              <w:spacing w:before="0" w:after="283"/>
              <w:rPr/>
            </w:pPr>
            <w:r>
              <w:rPr/>
              <w:t>Termination for Cause</w:t>
            </w:r>
          </w:p>
        </w:tc>
        <w:tc>
          <w:tcPr>
            <w:tcW w:w="104"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261" w:type="dxa"/>
            <w:tcBorders>
              <w:bottom w:val="single" w:sz="2" w:space="0" w:color="999999"/>
              <w:right w:val="single" w:sz="2" w:space="0" w:color="999999"/>
            </w:tcBorders>
            <w:shd w:fill="auto" w:val="clear"/>
            <w:tcMar>
              <w:bottom w:w="28" w:type="dxa"/>
              <w:right w:w="28" w:type="dxa"/>
            </w:tcMar>
          </w:tcPr>
          <w:p>
            <w:pPr>
              <w:pStyle w:val="TableContents"/>
              <w:spacing w:before="0" w:after="283"/>
              <w:rPr/>
            </w:pPr>
            <w:r>
              <w:rPr/>
              <w:t>Forfeit.</w:t>
            </w:r>
          </w:p>
        </w:tc>
        <w:tc>
          <w:tcPr>
            <w:tcW w:w="10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157" w:type="dxa"/>
            <w:tcBorders>
              <w:bottom w:val="single" w:sz="2" w:space="0" w:color="999999"/>
              <w:right w:val="single" w:sz="2" w:space="0" w:color="00548B"/>
            </w:tcBorders>
            <w:shd w:fill="auto" w:val="clear"/>
            <w:tcMar>
              <w:bottom w:w="28" w:type="dxa"/>
              <w:right w:w="40" w:type="dxa"/>
            </w:tcMar>
          </w:tcPr>
          <w:p>
            <w:pPr>
              <w:pStyle w:val="TableContents"/>
              <w:spacing w:before="0" w:after="283"/>
              <w:rPr/>
            </w:pPr>
            <w:r>
              <w:rPr/>
              <w:t>Forfeit.</w:t>
            </w:r>
          </w:p>
        </w:tc>
      </w:tr>
      <w:tr>
        <w:trPr/>
        <w:tc>
          <w:tcPr>
            <w:tcW w:w="3578" w:type="dxa"/>
            <w:tcBorders>
              <w:left w:val="single" w:sz="2" w:space="0" w:color="00548B"/>
              <w:bottom w:val="single" w:sz="2" w:space="0" w:color="00548B"/>
            </w:tcBorders>
            <w:shd w:fill="auto" w:val="clear"/>
            <w:tcMar>
              <w:left w:w="160" w:type="dxa"/>
              <w:bottom w:w="28" w:type="dxa"/>
            </w:tcMar>
          </w:tcPr>
          <w:p>
            <w:pPr>
              <w:pStyle w:val="TableContents"/>
              <w:spacing w:before="0" w:after="283"/>
              <w:rPr/>
            </w:pPr>
            <w:r>
              <w:rPr/>
              <w:t>Approved Retirement (comply with non-compete provisions)</w:t>
            </w:r>
          </w:p>
        </w:tc>
        <w:tc>
          <w:tcPr>
            <w:tcW w:w="104" w:type="dxa"/>
            <w:tcBorders>
              <w:left w:val="single" w:sz="2" w:space="0" w:color="999999"/>
              <w:bottom w:val="single" w:sz="2" w:space="0" w:color="00548B"/>
            </w:tcBorders>
            <w:shd w:fill="auto" w:val="clear"/>
            <w:tcMar>
              <w:left w:w="28" w:type="dxa"/>
              <w:bottom w:w="28" w:type="dxa"/>
            </w:tcMar>
            <w:vAlign w:val="bottom"/>
          </w:tcPr>
          <w:p>
            <w:pPr>
              <w:pStyle w:val="TableContents"/>
              <w:spacing w:before="0" w:after="283"/>
              <w:rPr/>
            </w:pPr>
            <w:r>
              <w:rPr/>
              <w:t> </w:t>
            </w:r>
          </w:p>
        </w:tc>
        <w:tc>
          <w:tcPr>
            <w:tcW w:w="3261" w:type="dxa"/>
            <w:tcBorders>
              <w:bottom w:val="single" w:sz="2" w:space="0" w:color="00548B"/>
              <w:right w:val="single" w:sz="2" w:space="0" w:color="999999"/>
            </w:tcBorders>
            <w:shd w:fill="auto" w:val="clear"/>
            <w:tcMar>
              <w:bottom w:w="28" w:type="dxa"/>
              <w:right w:w="28" w:type="dxa"/>
            </w:tcMar>
          </w:tcPr>
          <w:p>
            <w:pPr>
              <w:pStyle w:val="TableContents"/>
              <w:spacing w:before="0" w:after="283"/>
              <w:rPr/>
            </w:pPr>
            <w:r>
              <w:rPr/>
              <w:t>Subject to non-compete, vesting continues per normal course post-retirement.</w:t>
            </w:r>
          </w:p>
        </w:tc>
        <w:tc>
          <w:tcPr>
            <w:tcW w:w="105" w:type="dxa"/>
            <w:tcBorders>
              <w:left w:val="single" w:sz="2" w:space="0" w:color="999999"/>
              <w:bottom w:val="single" w:sz="2" w:space="0" w:color="00548B"/>
            </w:tcBorders>
            <w:shd w:fill="auto" w:val="clear"/>
            <w:tcMar>
              <w:left w:w="28" w:type="dxa"/>
              <w:bottom w:w="28" w:type="dxa"/>
            </w:tcMar>
            <w:vAlign w:val="bottom"/>
          </w:tcPr>
          <w:p>
            <w:pPr>
              <w:pStyle w:val="TableContents"/>
              <w:spacing w:before="0" w:after="283"/>
              <w:rPr/>
            </w:pPr>
            <w:r>
              <w:rPr/>
              <w:t> </w:t>
            </w:r>
          </w:p>
        </w:tc>
        <w:tc>
          <w:tcPr>
            <w:tcW w:w="3157" w:type="dxa"/>
            <w:tcBorders>
              <w:bottom w:val="single" w:sz="2" w:space="0" w:color="00548B"/>
              <w:right w:val="single" w:sz="2" w:space="0" w:color="00548B"/>
            </w:tcBorders>
            <w:shd w:fill="auto" w:val="clear"/>
            <w:tcMar>
              <w:bottom w:w="28" w:type="dxa"/>
              <w:right w:w="40" w:type="dxa"/>
            </w:tcMar>
          </w:tcPr>
          <w:p>
            <w:pPr>
              <w:pStyle w:val="TableContents"/>
              <w:spacing w:before="0" w:after="283"/>
              <w:rPr/>
            </w:pPr>
            <w:r>
              <w:rPr/>
              <w:t>Earned based on actual performance and will vest pro rata on March 1 of the year following the three year Performance Period based on number of days employed during the Performance Period. Subject to non-compete, vesting continues per normal course post-retirement.</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3577"/>
        <w:gridCol w:w="105"/>
        <w:gridCol w:w="3261"/>
        <w:gridCol w:w="105"/>
        <w:gridCol w:w="3157"/>
      </w:tblGrid>
      <w:tr>
        <w:trPr/>
        <w:tc>
          <w:tcPr>
            <w:tcW w:w="3577"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261" w:type="dxa"/>
            <w:tcBorders/>
            <w:shd w:fill="auto" w:val="clear"/>
            <w:vAlign w:val="center"/>
          </w:tcPr>
          <w:p>
            <w:pPr>
              <w:pStyle w:val="TableContents"/>
              <w:spacing w:before="0" w:after="283"/>
              <w:rPr>
                <w:sz w:val="4"/>
                <w:szCs w:val="4"/>
              </w:rPr>
            </w:pPr>
            <w:r>
              <w:rPr>
                <w:sz w:val="4"/>
                <w:szCs w:val="4"/>
              </w:rPr>
            </w:r>
          </w:p>
        </w:tc>
        <w:tc>
          <w:tcPr>
            <w:tcW w:w="105" w:type="dxa"/>
            <w:tcBorders/>
            <w:shd w:fill="auto" w:val="clear"/>
            <w:vAlign w:val="bottom"/>
          </w:tcPr>
          <w:p>
            <w:pPr>
              <w:pStyle w:val="TableContents"/>
              <w:spacing w:before="0" w:after="283"/>
              <w:rPr>
                <w:sz w:val="4"/>
                <w:szCs w:val="4"/>
              </w:rPr>
            </w:pPr>
            <w:r>
              <w:rPr>
                <w:sz w:val="4"/>
                <w:szCs w:val="4"/>
              </w:rPr>
            </w:r>
          </w:p>
        </w:tc>
        <w:tc>
          <w:tcPr>
            <w:tcW w:w="3157" w:type="dxa"/>
            <w:tcBorders/>
            <w:shd w:fill="auto" w:val="clear"/>
            <w:vAlign w:val="center"/>
          </w:tcPr>
          <w:p>
            <w:pPr>
              <w:pStyle w:val="TableContents"/>
              <w:spacing w:before="0" w:after="283"/>
              <w:rPr>
                <w:sz w:val="4"/>
                <w:szCs w:val="4"/>
              </w:rPr>
            </w:pPr>
            <w:r>
              <w:rPr>
                <w:sz w:val="4"/>
                <w:szCs w:val="4"/>
              </w:rPr>
            </w:r>
          </w:p>
        </w:tc>
      </w:tr>
      <w:tr>
        <w:trPr/>
        <w:tc>
          <w:tcPr>
            <w:tcW w:w="3577" w:type="dxa"/>
            <w:tcBorders>
              <w:top w:val="single" w:sz="2" w:space="0" w:color="00548B"/>
              <w:left w:val="single" w:sz="2" w:space="0" w:color="00548B"/>
            </w:tcBorders>
            <w:shd w:fill="00548B" w:val="clear"/>
            <w:tcMar>
              <w:top w:w="28" w:type="dxa"/>
              <w:left w:w="160" w:type="dxa"/>
            </w:tcMar>
            <w:vAlign w:val="bottom"/>
          </w:tcPr>
          <w:p>
            <w:pPr>
              <w:pStyle w:val="TableContents"/>
              <w:spacing w:before="0" w:after="283"/>
              <w:jc w:val="center"/>
              <w:rPr>
                <w:b/>
                <w:color w:val="E5E5E5"/>
              </w:rPr>
            </w:pPr>
            <w:r>
              <w:rPr>
                <w:b/>
                <w:color w:val="E5E5E5"/>
              </w:rPr>
              <w:t>Event</w:t>
            </w:r>
          </w:p>
        </w:tc>
        <w:tc>
          <w:tcPr>
            <w:tcW w:w="105" w:type="dxa"/>
            <w:tcBorders>
              <w:top w:val="single" w:sz="2" w:space="0" w:color="00548B"/>
              <w:left w:val="single" w:sz="2" w:space="0" w:color="999999"/>
            </w:tcBorders>
            <w:shd w:fill="00548B" w:val="clear"/>
            <w:tcMar>
              <w:top w:w="28" w:type="dxa"/>
              <w:left w:w="28" w:type="dxa"/>
            </w:tcMar>
            <w:vAlign w:val="bottom"/>
          </w:tcPr>
          <w:p>
            <w:pPr>
              <w:pStyle w:val="TableContents"/>
              <w:spacing w:before="0" w:after="283"/>
              <w:rPr/>
            </w:pPr>
            <w:r>
              <w:rPr/>
              <w:t> </w:t>
            </w:r>
          </w:p>
        </w:tc>
        <w:tc>
          <w:tcPr>
            <w:tcW w:w="3261" w:type="dxa"/>
            <w:tcBorders>
              <w:top w:val="single" w:sz="2" w:space="0" w:color="00548B"/>
              <w:right w:val="single" w:sz="2" w:space="0" w:color="999999"/>
            </w:tcBorders>
            <w:shd w:fill="00548B" w:val="clear"/>
            <w:tcMar>
              <w:top w:w="28" w:type="dxa"/>
              <w:right w:w="28" w:type="dxa"/>
            </w:tcMar>
            <w:vAlign w:val="bottom"/>
          </w:tcPr>
          <w:p>
            <w:pPr>
              <w:pStyle w:val="TableContents"/>
              <w:spacing w:before="0" w:after="283"/>
              <w:jc w:val="center"/>
              <w:rPr>
                <w:b/>
                <w:color w:val="E5E5E5"/>
              </w:rPr>
            </w:pPr>
            <w:r>
              <w:rPr>
                <w:b/>
                <w:color w:val="E5E5E5"/>
              </w:rPr>
              <w:t>Restricted Stock and Options</w:t>
            </w:r>
          </w:p>
        </w:tc>
        <w:tc>
          <w:tcPr>
            <w:tcW w:w="105" w:type="dxa"/>
            <w:tcBorders>
              <w:top w:val="single" w:sz="2" w:space="0" w:color="00548B"/>
              <w:left w:val="single" w:sz="2" w:space="0" w:color="999999"/>
            </w:tcBorders>
            <w:shd w:fill="00548B" w:val="clear"/>
            <w:tcMar>
              <w:top w:w="28" w:type="dxa"/>
              <w:left w:w="28" w:type="dxa"/>
            </w:tcMar>
            <w:vAlign w:val="bottom"/>
          </w:tcPr>
          <w:p>
            <w:pPr>
              <w:pStyle w:val="TableContents"/>
              <w:spacing w:before="0" w:after="283"/>
              <w:rPr/>
            </w:pPr>
            <w:r>
              <w:rPr/>
              <w:t> </w:t>
            </w:r>
          </w:p>
        </w:tc>
        <w:tc>
          <w:tcPr>
            <w:tcW w:w="3157" w:type="dxa"/>
            <w:tcBorders>
              <w:top w:val="single" w:sz="2" w:space="0" w:color="00548B"/>
              <w:right w:val="single" w:sz="2" w:space="0" w:color="00548B"/>
            </w:tcBorders>
            <w:shd w:fill="00548B" w:val="clear"/>
            <w:tcMar>
              <w:top w:w="28" w:type="dxa"/>
              <w:right w:w="40" w:type="dxa"/>
            </w:tcMar>
            <w:vAlign w:val="bottom"/>
          </w:tcPr>
          <w:p>
            <w:pPr>
              <w:pStyle w:val="TableContents"/>
              <w:spacing w:before="0" w:after="283"/>
              <w:jc w:val="center"/>
              <w:rPr>
                <w:b/>
                <w:color w:val="E5E5E5"/>
              </w:rPr>
            </w:pPr>
            <w:r>
              <w:rPr>
                <w:b/>
                <w:color w:val="E5E5E5"/>
              </w:rPr>
              <w:t>2018, 2019, and 2020</w:t>
              <w:br/>
              <w:t>Performance Stock Units</w:t>
            </w:r>
          </w:p>
        </w:tc>
      </w:tr>
      <w:tr>
        <w:trPr/>
        <w:tc>
          <w:tcPr>
            <w:tcW w:w="3577" w:type="dxa"/>
            <w:tcBorders>
              <w:left w:val="single" w:sz="2" w:space="0" w:color="00548B"/>
              <w:bottom w:val="single" w:sz="2" w:space="0" w:color="999999"/>
            </w:tcBorders>
            <w:shd w:fill="auto" w:val="clear"/>
            <w:tcMar>
              <w:left w:w="160" w:type="dxa"/>
              <w:bottom w:w="28" w:type="dxa"/>
            </w:tcMar>
          </w:tcPr>
          <w:p>
            <w:pPr>
              <w:pStyle w:val="TableContents"/>
              <w:spacing w:before="0" w:after="283"/>
              <w:rPr/>
            </w:pPr>
            <w:r>
              <w:rPr/>
              <w:t>Death or Disability</w:t>
            </w:r>
          </w:p>
        </w:tc>
        <w:tc>
          <w:tcPr>
            <w:tcW w:w="10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261" w:type="dxa"/>
            <w:tcBorders>
              <w:bottom w:val="single" w:sz="2" w:space="0" w:color="999999"/>
              <w:right w:val="single" w:sz="2" w:space="0" w:color="999999"/>
            </w:tcBorders>
            <w:shd w:fill="auto" w:val="clear"/>
            <w:tcMar>
              <w:bottom w:w="28" w:type="dxa"/>
              <w:right w:w="28" w:type="dxa"/>
            </w:tcMar>
          </w:tcPr>
          <w:p>
            <w:pPr>
              <w:pStyle w:val="TableContents"/>
              <w:spacing w:before="0" w:after="283"/>
              <w:rPr/>
            </w:pPr>
            <w:r>
              <w:rPr/>
              <w:t>Full acceleration.</w:t>
            </w:r>
          </w:p>
        </w:tc>
        <w:tc>
          <w:tcPr>
            <w:tcW w:w="10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157" w:type="dxa"/>
            <w:tcBorders>
              <w:bottom w:val="single" w:sz="2" w:space="0" w:color="999999"/>
              <w:right w:val="single" w:sz="2" w:space="0" w:color="00548B"/>
            </w:tcBorders>
            <w:shd w:fill="auto" w:val="clear"/>
            <w:tcMar>
              <w:bottom w:w="28" w:type="dxa"/>
              <w:right w:w="40" w:type="dxa"/>
            </w:tcMar>
          </w:tcPr>
          <w:p>
            <w:pPr>
              <w:pStyle w:val="TableContents"/>
              <w:spacing w:before="0" w:after="283"/>
              <w:rPr/>
            </w:pPr>
            <w:r>
              <w:rPr/>
              <w:t>Earned based on actual performance and will vest pro rata on March 1 of the year following the three year Performance Period based on number of days employed during the Performance Period.4</w:t>
            </w:r>
          </w:p>
        </w:tc>
      </w:tr>
      <w:tr>
        <w:trPr/>
        <w:tc>
          <w:tcPr>
            <w:tcW w:w="3577" w:type="dxa"/>
            <w:tcBorders>
              <w:left w:val="single" w:sz="2" w:space="0" w:color="00548B"/>
              <w:bottom w:val="single" w:sz="2" w:space="0" w:color="999999"/>
            </w:tcBorders>
            <w:shd w:fill="auto" w:val="clear"/>
            <w:tcMar>
              <w:left w:w="160" w:type="dxa"/>
              <w:bottom w:w="28" w:type="dxa"/>
            </w:tcMar>
          </w:tcPr>
          <w:p>
            <w:pPr>
              <w:pStyle w:val="TableContents"/>
              <w:spacing w:before="0" w:after="283"/>
              <w:rPr/>
            </w:pPr>
            <w:r>
              <w:rPr/>
              <w:t>Involuntary/Good Reason Termination</w:t>
            </w:r>
          </w:p>
        </w:tc>
        <w:tc>
          <w:tcPr>
            <w:tcW w:w="10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261" w:type="dxa"/>
            <w:tcBorders>
              <w:bottom w:val="single" w:sz="2" w:space="0" w:color="999999"/>
              <w:right w:val="single" w:sz="2" w:space="0" w:color="999999"/>
            </w:tcBorders>
            <w:shd w:fill="auto" w:val="clear"/>
            <w:tcMar>
              <w:bottom w:w="28" w:type="dxa"/>
              <w:right w:w="28" w:type="dxa"/>
            </w:tcMar>
          </w:tcPr>
          <w:p>
            <w:pPr>
              <w:pStyle w:val="TableContents"/>
              <w:spacing w:before="0" w:after="283"/>
              <w:rPr/>
            </w:pPr>
            <w:r>
              <w:rPr/>
              <w:t>Forfeit.</w:t>
            </w:r>
          </w:p>
        </w:tc>
        <w:tc>
          <w:tcPr>
            <w:tcW w:w="10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157" w:type="dxa"/>
            <w:tcBorders>
              <w:bottom w:val="single" w:sz="2" w:space="0" w:color="999999"/>
              <w:right w:val="single" w:sz="2" w:space="0" w:color="00548B"/>
            </w:tcBorders>
            <w:shd w:fill="auto" w:val="clear"/>
            <w:tcMar>
              <w:bottom w:w="28" w:type="dxa"/>
              <w:right w:w="40" w:type="dxa"/>
            </w:tcMar>
          </w:tcPr>
          <w:p>
            <w:pPr>
              <w:pStyle w:val="TableContents"/>
              <w:spacing w:before="0" w:after="283"/>
              <w:rPr/>
            </w:pPr>
            <w:r>
              <w:rPr/>
              <w:t>Earned based on actual performance and will vest pro rata on March 1 of the year following the three year Performance Period based on number of days employed during the Performance Period.5</w:t>
            </w:r>
          </w:p>
        </w:tc>
      </w:tr>
      <w:tr>
        <w:trPr/>
        <w:tc>
          <w:tcPr>
            <w:tcW w:w="3577" w:type="dxa"/>
            <w:tcBorders>
              <w:left w:val="single" w:sz="2" w:space="0" w:color="00548B"/>
              <w:bottom w:val="single" w:sz="2" w:space="0" w:color="999999"/>
            </w:tcBorders>
            <w:shd w:fill="auto" w:val="clear"/>
            <w:tcMar>
              <w:left w:w="160" w:type="dxa"/>
              <w:bottom w:w="28" w:type="dxa"/>
            </w:tcMar>
          </w:tcPr>
          <w:p>
            <w:pPr>
              <w:pStyle w:val="TableContents"/>
              <w:spacing w:before="0" w:after="283"/>
              <w:rPr/>
            </w:pPr>
            <w:r>
              <w:rPr/>
              <w:t>Change of Control (COC), No Termination</w:t>
            </w:r>
          </w:p>
        </w:tc>
        <w:tc>
          <w:tcPr>
            <w:tcW w:w="10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261" w:type="dxa"/>
            <w:tcBorders>
              <w:bottom w:val="single" w:sz="2" w:space="0" w:color="999999"/>
              <w:right w:val="single" w:sz="2" w:space="0" w:color="999999"/>
            </w:tcBorders>
            <w:shd w:fill="auto" w:val="clear"/>
            <w:tcMar>
              <w:bottom w:w="28" w:type="dxa"/>
              <w:right w:w="28" w:type="dxa"/>
            </w:tcMar>
          </w:tcPr>
          <w:p>
            <w:pPr>
              <w:pStyle w:val="TableContents"/>
              <w:spacing w:before="0" w:after="283"/>
              <w:rPr/>
            </w:pPr>
            <w:r>
              <w:rPr/>
              <w:t>No impact, assumed by acquirer.</w:t>
            </w:r>
          </w:p>
        </w:tc>
        <w:tc>
          <w:tcPr>
            <w:tcW w:w="10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3157" w:type="dxa"/>
            <w:tcBorders>
              <w:bottom w:val="single" w:sz="2" w:space="0" w:color="999999"/>
              <w:right w:val="single" w:sz="2" w:space="0" w:color="00548B"/>
            </w:tcBorders>
            <w:shd w:fill="auto" w:val="clear"/>
            <w:tcMar>
              <w:bottom w:w="28" w:type="dxa"/>
              <w:right w:w="40" w:type="dxa"/>
            </w:tcMar>
          </w:tcPr>
          <w:p>
            <w:pPr>
              <w:pStyle w:val="TableContents"/>
              <w:spacing w:before="0" w:after="0"/>
              <w:rPr>
                <w:rFonts w:ascii="arial" w:hAnsi="arial"/>
                <w:sz w:val="18"/>
              </w:rPr>
            </w:pPr>
            <w:r>
              <w:rPr>
                <w:rFonts w:ascii="arial" w:hAnsi="arial"/>
                <w:sz w:val="18"/>
              </w:rPr>
              <w:t>If assumed by acquirer and converts shares into right to receive equivalent value shares in new entity then vesting continues per normal course.</w:t>
            </w:r>
          </w:p>
          <w:p>
            <w:pPr>
              <w:pStyle w:val="TableContents"/>
              <w:spacing w:before="0" w:after="0"/>
              <w:rPr/>
            </w:pPr>
            <w:r>
              <w:rPr/>
              <w:t> </w:t>
            </w:r>
          </w:p>
          <w:p>
            <w:pPr>
              <w:pStyle w:val="TableContents"/>
              <w:spacing w:before="0" w:after="20"/>
              <w:rPr>
                <w:rFonts w:ascii="arial" w:hAnsi="arial"/>
                <w:sz w:val="18"/>
              </w:rPr>
            </w:pPr>
            <w:r>
              <w:rPr>
                <w:rFonts w:ascii="arial" w:hAnsi="arial"/>
                <w:sz w:val="18"/>
              </w:rPr>
              <w:t>If not assumed by acquirer or acquirer does not convert shares into right to receive equivalent value in shares of new entity, then PSUs will vest at target if the COC occurs during the performance period or at the level dictated by actual performance if the COC occurs after the performance period and one share of Company common stock will be exchanged for each PSU and such common stock will receive the consideration paid by the acquirer in the COC.</w:t>
            </w:r>
          </w:p>
        </w:tc>
      </w:tr>
      <w:tr>
        <w:trPr/>
        <w:tc>
          <w:tcPr>
            <w:tcW w:w="3577" w:type="dxa"/>
            <w:tcBorders>
              <w:left w:val="single" w:sz="2" w:space="0" w:color="00548B"/>
              <w:bottom w:val="single" w:sz="2" w:space="0" w:color="00548B"/>
            </w:tcBorders>
            <w:shd w:fill="auto" w:val="clear"/>
            <w:tcMar>
              <w:left w:w="160" w:type="dxa"/>
              <w:bottom w:w="28" w:type="dxa"/>
            </w:tcMar>
          </w:tcPr>
          <w:p>
            <w:pPr>
              <w:pStyle w:val="TableContents"/>
              <w:spacing w:before="0" w:after="283"/>
              <w:rPr/>
            </w:pPr>
            <w:r>
              <w:rPr/>
              <w:t>Involuntary/Good Reason Termination Post-COC</w:t>
            </w:r>
          </w:p>
        </w:tc>
        <w:tc>
          <w:tcPr>
            <w:tcW w:w="105" w:type="dxa"/>
            <w:tcBorders>
              <w:left w:val="single" w:sz="2" w:space="0" w:color="999999"/>
              <w:bottom w:val="single" w:sz="2" w:space="0" w:color="00548B"/>
            </w:tcBorders>
            <w:shd w:fill="auto" w:val="clear"/>
            <w:tcMar>
              <w:left w:w="28" w:type="dxa"/>
              <w:bottom w:w="28" w:type="dxa"/>
            </w:tcMar>
            <w:vAlign w:val="bottom"/>
          </w:tcPr>
          <w:p>
            <w:pPr>
              <w:pStyle w:val="TableContents"/>
              <w:spacing w:before="0" w:after="283"/>
              <w:rPr/>
            </w:pPr>
            <w:r>
              <w:rPr/>
              <w:t> </w:t>
            </w:r>
          </w:p>
        </w:tc>
        <w:tc>
          <w:tcPr>
            <w:tcW w:w="3261" w:type="dxa"/>
            <w:tcBorders>
              <w:bottom w:val="single" w:sz="2" w:space="0" w:color="00548B"/>
              <w:right w:val="single" w:sz="2" w:space="0" w:color="999999"/>
            </w:tcBorders>
            <w:shd w:fill="auto" w:val="clear"/>
            <w:tcMar>
              <w:bottom w:w="28" w:type="dxa"/>
              <w:right w:w="28" w:type="dxa"/>
            </w:tcMar>
          </w:tcPr>
          <w:p>
            <w:pPr>
              <w:pStyle w:val="TableContents"/>
              <w:spacing w:before="0" w:after="283"/>
              <w:rPr/>
            </w:pPr>
            <w:r>
              <w:rPr/>
              <w:t>Full acceleration.</w:t>
            </w:r>
          </w:p>
        </w:tc>
        <w:tc>
          <w:tcPr>
            <w:tcW w:w="105" w:type="dxa"/>
            <w:tcBorders>
              <w:left w:val="single" w:sz="2" w:space="0" w:color="999999"/>
              <w:bottom w:val="single" w:sz="2" w:space="0" w:color="00548B"/>
            </w:tcBorders>
            <w:shd w:fill="auto" w:val="clear"/>
            <w:tcMar>
              <w:left w:w="28" w:type="dxa"/>
              <w:bottom w:w="28" w:type="dxa"/>
            </w:tcMar>
            <w:vAlign w:val="bottom"/>
          </w:tcPr>
          <w:p>
            <w:pPr>
              <w:pStyle w:val="TableContents"/>
              <w:spacing w:before="0" w:after="283"/>
              <w:rPr/>
            </w:pPr>
            <w:r>
              <w:rPr/>
              <w:t> </w:t>
            </w:r>
          </w:p>
        </w:tc>
        <w:tc>
          <w:tcPr>
            <w:tcW w:w="3157" w:type="dxa"/>
            <w:tcBorders>
              <w:bottom w:val="single" w:sz="2" w:space="0" w:color="00548B"/>
              <w:right w:val="single" w:sz="2" w:space="0" w:color="00548B"/>
            </w:tcBorders>
            <w:shd w:fill="auto" w:val="clear"/>
            <w:tcMar>
              <w:bottom w:w="28" w:type="dxa"/>
              <w:right w:w="40" w:type="dxa"/>
            </w:tcMar>
          </w:tcPr>
          <w:p>
            <w:pPr>
              <w:pStyle w:val="TableContents"/>
              <w:spacing w:before="0" w:after="283"/>
              <w:rPr/>
            </w:pPr>
            <w:r>
              <w:rPr/>
              <w:t>Shares shall immediately fully vest (at the greater of target or level dictated by actual performance).</w:t>
            </w:r>
          </w:p>
        </w:tc>
      </w:tr>
    </w:tbl>
    <w:p>
      <w:pPr>
        <w:pStyle w:val="TextBody"/>
        <w:pBdr>
          <w:bottom w:val="single" w:sz="2" w:space="1" w:color="000000"/>
        </w:pBdr>
        <w:spacing w:lineRule="atLeast" w:line="160" w:before="0" w:after="40"/>
        <w:jc w:val="left"/>
        <w:rPr/>
      </w:pPr>
      <w:r>
        <w:rPr/>
        <w:t> </w:t>
      </w:r>
    </w:p>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i/>
              </w:rPr>
            </w:pPr>
            <w:r>
              <w:rPr>
                <w:i/>
              </w:rPr>
              <w:t>4 </w:t>
            </w:r>
          </w:p>
        </w:tc>
        <w:tc>
          <w:tcPr>
            <w:tcW w:w="10002" w:type="dxa"/>
            <w:tcBorders/>
            <w:shd w:fill="auto" w:val="clear"/>
          </w:tcPr>
          <w:p>
            <w:pPr>
              <w:pStyle w:val="TableContents"/>
              <w:spacing w:before="0" w:after="0"/>
              <w:jc w:val="left"/>
              <w:rPr>
                <w:rFonts w:ascii="arial" w:hAnsi="arial"/>
                <w:i/>
                <w:sz w:val="13"/>
              </w:rPr>
            </w:pPr>
            <w:r>
              <w:rPr>
                <w:rFonts w:ascii="arial" w:hAnsi="arial"/>
                <w:i/>
                <w:sz w:val="13"/>
              </w:rPr>
              <w:t xml:space="preserve">Except with respect to Ms. Ratekin, whose award will continue to vest as if she were employed through her retirement date, and all outstanding equity awards will vest in full. </w:t>
            </w:r>
          </w:p>
        </w:tc>
      </w:tr>
    </w:tbl>
    <w:tbl>
      <w:tblPr>
        <w:tblW w:w="5000" w:type="pct"/>
        <w:jc w:val="left"/>
        <w:tblInd w:w="0" w:type="dxa"/>
        <w:tblCellMar>
          <w:top w:w="0" w:type="dxa"/>
          <w:left w:w="0" w:type="dxa"/>
          <w:bottom w:w="0" w:type="dxa"/>
          <w:right w:w="0" w:type="dxa"/>
        </w:tblCellMar>
      </w:tblPr>
      <w:tblGrid>
        <w:gridCol w:w="203"/>
        <w:gridCol w:w="10002"/>
      </w:tblGrid>
      <w:tr>
        <w:trPr/>
        <w:tc>
          <w:tcPr>
            <w:tcW w:w="203" w:type="dxa"/>
            <w:tcBorders/>
            <w:shd w:fill="auto" w:val="clear"/>
          </w:tcPr>
          <w:p>
            <w:pPr>
              <w:pStyle w:val="TableContents"/>
              <w:spacing w:before="0" w:after="283"/>
              <w:jc w:val="left"/>
              <w:rPr>
                <w:i/>
              </w:rPr>
            </w:pPr>
            <w:r>
              <w:rPr>
                <w:i/>
              </w:rPr>
              <w:t>5 </w:t>
            </w:r>
          </w:p>
        </w:tc>
        <w:tc>
          <w:tcPr>
            <w:tcW w:w="10002" w:type="dxa"/>
            <w:tcBorders/>
            <w:shd w:fill="auto" w:val="clear"/>
          </w:tcPr>
          <w:p>
            <w:pPr>
              <w:pStyle w:val="TableContents"/>
              <w:spacing w:before="0" w:after="0"/>
              <w:jc w:val="left"/>
              <w:rPr>
                <w:rFonts w:ascii="arial" w:hAnsi="arial"/>
                <w:i/>
                <w:sz w:val="13"/>
              </w:rPr>
            </w:pPr>
            <w:r>
              <w:rPr>
                <w:rFonts w:ascii="arial" w:hAnsi="arial"/>
                <w:i/>
                <w:sz w:val="13"/>
              </w:rPr>
              <w:t xml:space="preserve">Except with respect to Ms. Ratekin, whose award will continue to vest as if she were employed through her retirement date.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i/>
          <w:color w:val="00548B"/>
          <w:sz w:val="18"/>
        </w:rPr>
      </w:pPr>
      <w:r>
        <w:rPr>
          <w:rFonts w:ascii="arial" w:hAnsi="arial"/>
          <w:b/>
          <w:i/>
          <w:color w:val="00548B"/>
          <w:sz w:val="18"/>
        </w:rPr>
        <w:t xml:space="preserve">Other Benefits </w:t>
      </w:r>
    </w:p>
    <w:p>
      <w:pPr>
        <w:pStyle w:val="TextBody"/>
        <w:spacing w:before="0" w:after="0"/>
        <w:jc w:val="both"/>
        <w:rPr>
          <w:rFonts w:ascii="arial" w:hAnsi="arial"/>
          <w:sz w:val="18"/>
        </w:rPr>
      </w:pPr>
      <w:r>
        <w:rPr>
          <w:rFonts w:ascii="arial" w:hAnsi="arial"/>
          <w:sz w:val="18"/>
        </w:rPr>
        <w:t xml:space="preserve">Mr. Roth, Mr. Hussey, Mr. Kelly, Mr. Torain and Ms. Ratekin will be eligible to participate in the Companys various health and welfare benefit plans for its similarly situated key management employees. </w:t>
      </w:r>
    </w:p>
    <w:p>
      <w:pPr>
        <w:pStyle w:val="TextBody"/>
        <w:spacing w:before="200" w:after="0"/>
        <w:jc w:val="both"/>
        <w:rPr>
          <w:rFonts w:ascii="arial" w:hAnsi="arial"/>
          <w:b/>
          <w:i/>
          <w:color w:val="00548B"/>
          <w:sz w:val="18"/>
        </w:rPr>
      </w:pPr>
      <w:r>
        <w:rPr>
          <w:rFonts w:ascii="arial" w:hAnsi="arial"/>
          <w:b/>
          <w:i/>
          <w:color w:val="00548B"/>
          <w:sz w:val="18"/>
        </w:rPr>
        <w:t xml:space="preserve">Restrictive Covenants on Termination </w:t>
      </w:r>
    </w:p>
    <w:p>
      <w:pPr>
        <w:pStyle w:val="TextBody"/>
        <w:spacing w:before="0" w:after="0"/>
        <w:jc w:val="both"/>
        <w:rPr>
          <w:rFonts w:ascii="arial" w:hAnsi="arial"/>
          <w:sz w:val="18"/>
        </w:rPr>
      </w:pPr>
      <w:r>
        <w:rPr>
          <w:rFonts w:ascii="arial" w:hAnsi="arial"/>
          <w:sz w:val="18"/>
        </w:rPr>
        <w:t xml:space="preserve">For the applicable restricted period set forth in each executive officers Senior Management Agreement, or in the case of Ms. Ratekin in the Transitional Retirement Agreement, he or she may not directly or indirectly (i) hire any employees of the Company or solicit, induce or encourage any employee of the Company or any client of the Company to leave, alter or cease his or her relationship with it or (ii) provide services that are the same as or similar to those offered by the Company to any client of the Company that he or she obtained as a client for the Company, to whom he or she provided services within the 12 months preceding termination of employment, or to whom he or she submitted a proposal during the six months prior to termination of employment. The restricted period for Mr. Roth is 12 to 24 months (depending on the type of termination) following termination of employment. The restricted period for Mr. Hussey, Mr. Kelly, Mr. Torain and Ms. Ratekin is 12 months following termination of employment for any reason. In addition, for a period of 12 to 24 months (depending on the type of termination) following the termination of his employment, Mr. Roth may not, directly or indirectly, provide services that are competitive with those of the Company to any person, firm or other business entity. Executives are also subject to a confidentiality and non-disclosure covenant. </w:t>
      </w:r>
    </w:p>
    <w:p>
      <w:pPr>
        <w:pStyle w:val="TextBody"/>
        <w:spacing w:before="200" w:after="0"/>
        <w:jc w:val="both"/>
        <w:rPr>
          <w:rFonts w:ascii="arial" w:hAnsi="arial"/>
          <w:b/>
          <w:i/>
          <w:color w:val="00548B"/>
          <w:sz w:val="18"/>
        </w:rPr>
      </w:pPr>
      <w:r>
        <w:rPr>
          <w:rFonts w:ascii="arial" w:hAnsi="arial"/>
          <w:b/>
          <w:i/>
          <w:color w:val="00548B"/>
          <w:sz w:val="18"/>
        </w:rPr>
        <w:t xml:space="preserve">Key Definitions </w:t>
      </w:r>
    </w:p>
    <w:p>
      <w:pPr>
        <w:pStyle w:val="TextBody"/>
        <w:spacing w:before="80" w:after="0"/>
        <w:jc w:val="both"/>
        <w:rPr>
          <w:rFonts w:ascii="arial" w:hAnsi="arial"/>
          <w:b/>
          <w:i/>
          <w:color w:val="00548B"/>
          <w:sz w:val="18"/>
        </w:rPr>
      </w:pPr>
      <w:r>
        <w:rPr>
          <w:rFonts w:ascii="arial" w:hAnsi="arial"/>
          <w:b/>
          <w:i/>
          <w:color w:val="00548B"/>
          <w:sz w:val="18"/>
        </w:rPr>
        <w:t xml:space="preserve">Definition of Change of Control </w:t>
      </w:r>
    </w:p>
    <w:p>
      <w:pPr>
        <w:pStyle w:val="TextBody"/>
        <w:spacing w:before="0" w:after="0"/>
        <w:jc w:val="both"/>
        <w:rPr>
          <w:rFonts w:ascii="arial" w:hAnsi="arial"/>
          <w:sz w:val="18"/>
        </w:rPr>
      </w:pPr>
      <w:r>
        <w:rPr>
          <w:rFonts w:ascii="arial" w:hAnsi="arial"/>
          <w:sz w:val="18"/>
        </w:rPr>
        <w:t xml:space="preserve">A Change of Control is defined in each of Mr. Roth, Mr. Hussey, Mr. Kelly and Mr. Torains Senior Management Agreements as: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any person becomes a beneficial owner of 40% or more of the Companys outstanding securities;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there is a consummation of a merger or consolidation with any person unless (a) the voting securities of the Company outstanding immediately prior to the transaction continue to represent at least 50% of the combined voting power of the securities of the Company or such other surviving entity; (b) the merger is a recapitalization in which no person other than existing security holders becomes a beneficial owner representing 50% or more of the Companys then outstanding securities; or (c) the merger does not represent a sale of all or substantially all of the Companys assets;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the stockholders approve a plan of complete liquidation or dissolution; or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there is a disposition or sale of all or substantially all of the Companys assets other than a sale or disposition in which at least 50% of the combined voting power of the voting securities are owned by shareholders of Huron. </w:t>
            </w:r>
          </w:p>
        </w:tc>
      </w:tr>
    </w:tbl>
    <w:p>
      <w:pPr>
        <w:pStyle w:val="TextBody"/>
        <w:spacing w:before="200" w:after="0"/>
        <w:jc w:val="both"/>
        <w:rPr>
          <w:rFonts w:ascii="arial" w:hAnsi="arial"/>
          <w:b/>
          <w:i/>
          <w:color w:val="00548B"/>
          <w:sz w:val="18"/>
        </w:rPr>
      </w:pPr>
      <w:r>
        <w:rPr>
          <w:rFonts w:ascii="arial" w:hAnsi="arial"/>
          <w:b/>
          <w:i/>
          <w:color w:val="00548B"/>
          <w:sz w:val="18"/>
        </w:rPr>
        <w:t xml:space="preserve">Definition of Good Reason </w:t>
      </w:r>
    </w:p>
    <w:p>
      <w:pPr>
        <w:pStyle w:val="TextBody"/>
        <w:spacing w:before="0" w:after="0"/>
        <w:jc w:val="both"/>
        <w:rPr>
          <w:rFonts w:ascii="arial" w:hAnsi="arial"/>
          <w:sz w:val="18"/>
        </w:rPr>
      </w:pPr>
      <w:r>
        <w:rPr>
          <w:rFonts w:ascii="arial" w:hAnsi="arial"/>
          <w:sz w:val="18"/>
        </w:rPr>
        <w:t xml:space="preserve">The definition of Good Reason is defined under the Senior Management Agreements and with respect to Ms. Ratekin, the Transitional Retirement Agreement, to mean a resignation following: (i) a change in primary location of employment to a location that is more than 50 miles from Chicago, Illinois; (ii) a failure to comply with any material term of the agreement by the Company or (iii) a material reduction in base salary or benefits coverage, provided that such reduction is without his or her consent, is not warranted by the Companys financial condition, and is not a change that applies uniformly to similarly situated Company executives. The agreements provide the Company the right to cure prior to a senior executives resignation for Good Reason. </w:t>
      </w:r>
    </w:p>
    <w:p>
      <w:pPr>
        <w:pStyle w:val="TextBody"/>
        <w:spacing w:before="200" w:after="0"/>
        <w:jc w:val="both"/>
        <w:rPr>
          <w:rFonts w:ascii="arial" w:hAnsi="arial"/>
          <w:b/>
          <w:i/>
          <w:color w:val="00548B"/>
          <w:sz w:val="18"/>
        </w:rPr>
      </w:pPr>
      <w:r>
        <w:rPr>
          <w:rFonts w:ascii="arial" w:hAnsi="arial"/>
          <w:b/>
          <w:i/>
          <w:color w:val="00548B"/>
          <w:sz w:val="18"/>
        </w:rPr>
        <w:t xml:space="preserve">Definition of Good Reason in Relation to a Change of Control </w:t>
      </w:r>
    </w:p>
    <w:p>
      <w:pPr>
        <w:pStyle w:val="TextBody"/>
        <w:spacing w:before="0" w:after="0"/>
        <w:jc w:val="both"/>
        <w:rPr>
          <w:rFonts w:ascii="arial" w:hAnsi="arial"/>
          <w:sz w:val="18"/>
        </w:rPr>
      </w:pPr>
      <w:r>
        <w:rPr>
          <w:rFonts w:ascii="arial" w:hAnsi="arial"/>
          <w:sz w:val="18"/>
        </w:rPr>
        <w:t xml:space="preserve">Under each of Mr. Roth, Mr. Hussey, Mr. Kelly and Mr. Torains Senior Management Agreements, a Change of Control Good Reason occurs if certain adverse changes occur in anticipation of, or within twenty-four months following, a Change of Control including: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i/>
              </w:rPr>
            </w:pPr>
            <w:r>
              <w:rPr>
                <w:i/>
              </w:rPr>
              <w:t>(a)</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any material breach of the Senior Management Agreement by the Company,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i/>
              </w:rPr>
            </w:pPr>
            <w:r>
              <w:rPr>
                <w:i/>
              </w:rPr>
              <w:t>(b)</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any material adverse change in the executives status, responsibilities or position with the Company,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i/>
              </w:rPr>
            </w:pPr>
            <w:r>
              <w:rPr>
                <w:i/>
              </w:rPr>
              <w:t>(c)</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any material reduction in his base salary or target bonus, other than in connection with an across-the-board reduction in base salaries applicable in like proportions to all similarly situated executives of the Company and any direct or indirect parent of the Company,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i/>
              </w:rPr>
            </w:pPr>
            <w:r>
              <w:rPr>
                <w:i/>
              </w:rPr>
              <w:t>(d)</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assignment of duties to the executive that are materially inconsistent with his position and responsibilities described in the Senior Management Agreement, including, specifically, assignment of a position other than as Chief Executive Officer of the surviving Company in the case of Mr. Roth, or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i/>
              </w:rPr>
            </w:pPr>
            <w:r>
              <w:rPr>
                <w:i/>
              </w:rPr>
              <w:t>(e)</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requiring the executive to be principally based at any office or location that is greater than 50 miles from Chicago, Illinois. </w:t>
            </w:r>
          </w:p>
        </w:tc>
      </w:tr>
    </w:tbl>
    <w:p>
      <w:pPr>
        <w:pStyle w:val="TextBody"/>
        <w:spacing w:before="200" w:after="0"/>
        <w:jc w:val="both"/>
        <w:rPr>
          <w:rFonts w:ascii="arial" w:hAnsi="arial"/>
          <w:b/>
          <w:i/>
          <w:color w:val="00548B"/>
          <w:sz w:val="18"/>
        </w:rPr>
      </w:pPr>
      <w:r>
        <w:rPr>
          <w:rFonts w:ascii="arial" w:hAnsi="arial"/>
          <w:b/>
          <w:i/>
          <w:color w:val="00548B"/>
          <w:sz w:val="18"/>
        </w:rPr>
        <w:t xml:space="preserve">Termination without Cause or Resignation for Good Reason </w:t>
      </w:r>
    </w:p>
    <w:p>
      <w:pPr>
        <w:pStyle w:val="TextBody"/>
        <w:spacing w:before="0" w:after="0"/>
        <w:jc w:val="both"/>
        <w:rPr>
          <w:rFonts w:ascii="arial" w:hAnsi="arial"/>
          <w:sz w:val="18"/>
        </w:rPr>
      </w:pPr>
      <w:r>
        <w:rPr>
          <w:rFonts w:ascii="arial" w:hAnsi="arial"/>
          <w:sz w:val="18"/>
        </w:rPr>
        <w:t xml:space="preserve">If any of the NEOs (other than Ms. Ratekin) is terminated without Cause or resigns for Good Reason, as defined in his Senior Management Agreement, upon executing a general release and waiver, the Company is obligated to pay severance and continuation of benefits in varying amounts. In addition, NEOs (other than Ms. Ratekin) will receive pro rata vesting of performance stock units that would otherwise have been earned in the performance period. </w:t>
      </w:r>
    </w:p>
    <w:p>
      <w:pPr>
        <w:pStyle w:val="TextBody"/>
        <w:spacing w:before="200" w:after="0"/>
        <w:jc w:val="both"/>
        <w:rPr>
          <w:rFonts w:ascii="arial" w:hAnsi="arial"/>
          <w:sz w:val="18"/>
        </w:rPr>
      </w:pPr>
      <w:r>
        <w:rPr>
          <w:rFonts w:ascii="arial" w:hAnsi="arial"/>
          <w:sz w:val="18"/>
        </w:rPr>
        <w:t xml:space="preserve">The following severance benefits are payable to each of our named executive officers upon termination without Cause or resignation for Good Reason, except in the case of a Change of Control, as of December 31,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2035"/>
        <w:gridCol w:w="213"/>
        <w:gridCol w:w="7957"/>
      </w:tblGrid>
      <w:tr>
        <w:trPr/>
        <w:tc>
          <w:tcPr>
            <w:tcW w:w="2035" w:type="dxa"/>
            <w:tcBorders/>
            <w:shd w:fill="auto" w:val="clear"/>
            <w:vAlign w:val="center"/>
          </w:tcPr>
          <w:p>
            <w:pPr>
              <w:pStyle w:val="TableContents"/>
              <w:spacing w:before="0" w:after="283"/>
              <w:rPr>
                <w:sz w:val="4"/>
                <w:szCs w:val="4"/>
              </w:rPr>
            </w:pPr>
            <w:r>
              <w:rPr>
                <w:sz w:val="4"/>
                <w:szCs w:val="4"/>
              </w:rPr>
            </w:r>
          </w:p>
        </w:tc>
        <w:tc>
          <w:tcPr>
            <w:tcW w:w="213" w:type="dxa"/>
            <w:tcBorders/>
            <w:shd w:fill="auto" w:val="clear"/>
            <w:vAlign w:val="bottom"/>
          </w:tcPr>
          <w:p>
            <w:pPr>
              <w:pStyle w:val="TableContents"/>
              <w:spacing w:before="0" w:after="283"/>
              <w:rPr>
                <w:sz w:val="4"/>
                <w:szCs w:val="4"/>
              </w:rPr>
            </w:pPr>
            <w:r>
              <w:rPr>
                <w:sz w:val="4"/>
                <w:szCs w:val="4"/>
              </w:rPr>
            </w:r>
          </w:p>
        </w:tc>
        <w:tc>
          <w:tcPr>
            <w:tcW w:w="7957" w:type="dxa"/>
            <w:tcBorders/>
            <w:shd w:fill="auto" w:val="clear"/>
            <w:vAlign w:val="center"/>
          </w:tcPr>
          <w:p>
            <w:pPr>
              <w:pStyle w:val="TableContents"/>
              <w:spacing w:before="0" w:after="283"/>
              <w:rPr>
                <w:sz w:val="4"/>
                <w:szCs w:val="4"/>
              </w:rPr>
            </w:pPr>
            <w:r>
              <w:rPr>
                <w:sz w:val="4"/>
                <w:szCs w:val="4"/>
              </w:rPr>
            </w:r>
          </w:p>
        </w:tc>
      </w:tr>
      <w:tr>
        <w:trPr/>
        <w:tc>
          <w:tcPr>
            <w:tcW w:w="2035" w:type="dxa"/>
            <w:tcBorders>
              <w:left w:val="single" w:sz="2" w:space="0" w:color="00548B"/>
            </w:tcBorders>
            <w:shd w:fill="00548B" w:val="clear"/>
            <w:tcMar>
              <w:left w:w="160" w:type="dxa"/>
            </w:tcMar>
            <w:vAlign w:val="bottom"/>
          </w:tcPr>
          <w:p>
            <w:pPr>
              <w:pStyle w:val="TableContents"/>
              <w:spacing w:before="0" w:after="283"/>
              <w:rPr>
                <w:b/>
                <w:color w:val="D8D8D8"/>
              </w:rPr>
            </w:pPr>
            <w:r>
              <w:rPr>
                <w:b/>
                <w:color w:val="D8D8D8"/>
              </w:rPr>
              <w:t>Executive</w:t>
            </w:r>
          </w:p>
        </w:tc>
        <w:tc>
          <w:tcPr>
            <w:tcW w:w="213" w:type="dxa"/>
            <w:tcBorders>
              <w:left w:val="single" w:sz="2" w:space="0" w:color="999999"/>
            </w:tcBorders>
            <w:shd w:fill="00548B" w:val="clear"/>
            <w:tcMar>
              <w:left w:w="28" w:type="dxa"/>
            </w:tcMar>
            <w:vAlign w:val="bottom"/>
          </w:tcPr>
          <w:p>
            <w:pPr>
              <w:pStyle w:val="TableContents"/>
              <w:spacing w:before="0" w:after="283"/>
              <w:rPr/>
            </w:pPr>
            <w:r>
              <w:rPr/>
              <w:t>  </w:t>
            </w:r>
          </w:p>
        </w:tc>
        <w:tc>
          <w:tcPr>
            <w:tcW w:w="7957" w:type="dxa"/>
            <w:tcBorders>
              <w:right w:val="single" w:sz="2" w:space="0" w:color="00548B"/>
            </w:tcBorders>
            <w:shd w:fill="00548B" w:val="clear"/>
            <w:tcMar>
              <w:right w:w="40" w:type="dxa"/>
            </w:tcMar>
            <w:vAlign w:val="bottom"/>
          </w:tcPr>
          <w:p>
            <w:pPr>
              <w:pStyle w:val="TableContents"/>
              <w:spacing w:before="0" w:after="283"/>
              <w:jc w:val="center"/>
              <w:rPr>
                <w:b/>
                <w:color w:val="D8D8D8"/>
              </w:rPr>
            </w:pPr>
            <w:r>
              <w:rPr>
                <w:b/>
                <w:color w:val="D8D8D8"/>
              </w:rPr>
              <w:t>Severance Benefits</w:t>
            </w:r>
          </w:p>
        </w:tc>
      </w:tr>
      <w:tr>
        <w:trPr/>
        <w:tc>
          <w:tcPr>
            <w:tcW w:w="2035" w:type="dxa"/>
            <w:tcBorders>
              <w:left w:val="single" w:sz="2" w:space="0" w:color="00548B"/>
              <w:bottom w:val="single" w:sz="2" w:space="0" w:color="999999"/>
            </w:tcBorders>
            <w:shd w:fill="auto" w:val="clear"/>
            <w:tcMar>
              <w:left w:w="160" w:type="dxa"/>
              <w:bottom w:w="28" w:type="dxa"/>
            </w:tcMar>
          </w:tcPr>
          <w:p>
            <w:pPr>
              <w:pStyle w:val="TableContents"/>
              <w:spacing w:before="0" w:after="0"/>
              <w:jc w:val="both"/>
              <w:rPr>
                <w:rFonts w:ascii="arial" w:hAnsi="arial"/>
                <w:sz w:val="18"/>
              </w:rPr>
            </w:pPr>
            <w:r>
              <w:rPr>
                <w:rFonts w:ascii="arial" w:hAnsi="arial"/>
                <w:sz w:val="18"/>
              </w:rPr>
              <w:t>James H. Roth</w:t>
            </w:r>
          </w:p>
        </w:tc>
        <w:tc>
          <w:tcPr>
            <w:tcW w:w="213"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7957" w:type="dxa"/>
            <w:tcBorders>
              <w:bottom w:val="single" w:sz="2" w:space="0" w:color="999999"/>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An amount in cash equal to two times the sum of his then current annual base salary and his then current target bonus; pro rata bonus in the year of termination based on actual results; 24 months continuation of medical insurance; and pro rata vesting of performance stock units that would otherwise have been earned in the performance period. Severance amounts are payable in a lump sum.</w:t>
            </w:r>
          </w:p>
        </w:tc>
      </w:tr>
      <w:tr>
        <w:trPr/>
        <w:tc>
          <w:tcPr>
            <w:tcW w:w="2035" w:type="dxa"/>
            <w:tcBorders>
              <w:left w:val="single" w:sz="2" w:space="0" w:color="00548B"/>
              <w:bottom w:val="single" w:sz="2" w:space="0" w:color="999999"/>
            </w:tcBorders>
            <w:shd w:fill="auto" w:val="clear"/>
            <w:tcMar>
              <w:left w:w="160" w:type="dxa"/>
              <w:bottom w:w="28" w:type="dxa"/>
            </w:tcMar>
          </w:tcPr>
          <w:p>
            <w:pPr>
              <w:pStyle w:val="TableContents"/>
              <w:spacing w:before="0" w:after="0"/>
              <w:jc w:val="both"/>
              <w:rPr>
                <w:rFonts w:ascii="arial" w:hAnsi="arial"/>
                <w:sz w:val="18"/>
              </w:rPr>
            </w:pPr>
            <w:r>
              <w:rPr>
                <w:rFonts w:ascii="arial" w:hAnsi="arial"/>
                <w:sz w:val="18"/>
              </w:rPr>
              <w:t>C. Mark Hussey</w:t>
            </w:r>
          </w:p>
        </w:tc>
        <w:tc>
          <w:tcPr>
            <w:tcW w:w="213"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7957" w:type="dxa"/>
            <w:tcBorders>
              <w:bottom w:val="single" w:sz="2" w:space="0" w:color="999999"/>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An amount in cash equal to one and one-half times the sum of his then current annual base salary and his then current target bonus; pro rata bonus in the year of termination based on actual results; 18 months continuation of medical insurance; and pro rata vesting of performance stock units that would otherwise have been earned in the performance period. Severance amounts are payable in a lump sum.</w:t>
            </w:r>
          </w:p>
        </w:tc>
      </w:tr>
      <w:tr>
        <w:trPr/>
        <w:tc>
          <w:tcPr>
            <w:tcW w:w="2035" w:type="dxa"/>
            <w:tcBorders>
              <w:left w:val="single" w:sz="2" w:space="0" w:color="00548B"/>
              <w:bottom w:val="single" w:sz="2" w:space="0" w:color="999999"/>
            </w:tcBorders>
            <w:shd w:fill="auto" w:val="clear"/>
            <w:tcMar>
              <w:left w:w="160" w:type="dxa"/>
              <w:bottom w:w="28" w:type="dxa"/>
            </w:tcMar>
          </w:tcPr>
          <w:p>
            <w:pPr>
              <w:pStyle w:val="TableContents"/>
              <w:spacing w:before="0" w:after="0"/>
              <w:jc w:val="both"/>
              <w:rPr>
                <w:rFonts w:ascii="arial" w:hAnsi="arial"/>
                <w:sz w:val="18"/>
              </w:rPr>
            </w:pPr>
            <w:r>
              <w:rPr>
                <w:rFonts w:ascii="arial" w:hAnsi="arial"/>
                <w:sz w:val="18"/>
              </w:rPr>
              <w:t>John D. Kelly</w:t>
            </w:r>
          </w:p>
        </w:tc>
        <w:tc>
          <w:tcPr>
            <w:tcW w:w="213"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7957" w:type="dxa"/>
            <w:tcBorders>
              <w:bottom w:val="single" w:sz="2" w:space="0" w:color="999999"/>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An amount in cash equal to the sum of his then current annual base salary and his then current target bonus; pro rata bonus in the year of termination based on actual results; 12 months continuation of medical insurance; and pro rata vesting of performance stock units that would otherwise have been earned in the performance period. Severance amounts are payable in a lump sum.</w:t>
            </w:r>
          </w:p>
        </w:tc>
      </w:tr>
      <w:tr>
        <w:trPr/>
        <w:tc>
          <w:tcPr>
            <w:tcW w:w="2035" w:type="dxa"/>
            <w:tcBorders>
              <w:left w:val="single" w:sz="2" w:space="0" w:color="00548B"/>
              <w:bottom w:val="single" w:sz="2" w:space="0" w:color="00548B"/>
            </w:tcBorders>
            <w:shd w:fill="auto" w:val="clear"/>
            <w:tcMar>
              <w:left w:w="160" w:type="dxa"/>
              <w:bottom w:w="28" w:type="dxa"/>
            </w:tcMar>
          </w:tcPr>
          <w:p>
            <w:pPr>
              <w:pStyle w:val="TableContents"/>
              <w:spacing w:before="0" w:after="283"/>
              <w:rPr/>
            </w:pPr>
            <w:r>
              <w:rPr/>
              <w:t>Ernest W. Torain, Jr.</w:t>
            </w:r>
          </w:p>
        </w:tc>
        <w:tc>
          <w:tcPr>
            <w:tcW w:w="213" w:type="dxa"/>
            <w:tcBorders>
              <w:left w:val="single" w:sz="2" w:space="0" w:color="999999"/>
              <w:bottom w:val="single" w:sz="2" w:space="0" w:color="00548B"/>
            </w:tcBorders>
            <w:shd w:fill="auto" w:val="clear"/>
            <w:tcMar>
              <w:left w:w="28" w:type="dxa"/>
              <w:bottom w:w="28" w:type="dxa"/>
            </w:tcMar>
            <w:vAlign w:val="bottom"/>
          </w:tcPr>
          <w:p>
            <w:pPr>
              <w:pStyle w:val="TableContents"/>
              <w:spacing w:before="0" w:after="283"/>
              <w:rPr/>
            </w:pPr>
            <w:r>
              <w:rPr/>
              <w:t>  </w:t>
            </w:r>
          </w:p>
        </w:tc>
        <w:tc>
          <w:tcPr>
            <w:tcW w:w="7957" w:type="dxa"/>
            <w:tcBorders>
              <w:bottom w:val="single" w:sz="2" w:space="0" w:color="00548B"/>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An amount in cash equal to the sum of his then current annual base salary and his then current target bonus; pro rata bonus in the year of termination based on actual results; 12 months continuation of medical insurance; and pro rata vesting of performance stock units that would otherwise have been earned in the performance period. Severance amounts are payable in a lump sum.</w:t>
            </w:r>
          </w:p>
        </w:tc>
      </w:tr>
    </w:tbl>
    <w:p>
      <w:pPr>
        <w:pStyle w:val="TextBody"/>
        <w:spacing w:before="200" w:after="0"/>
        <w:jc w:val="both"/>
        <w:rPr>
          <w:rFonts w:ascii="arial" w:hAnsi="arial"/>
          <w:sz w:val="18"/>
        </w:rPr>
      </w:pPr>
      <w:r>
        <w:rPr>
          <w:rFonts w:ascii="arial" w:hAnsi="arial"/>
          <w:sz w:val="18"/>
        </w:rPr>
        <w:t xml:space="preserve">In the event an executive qualifies for an approved retirement and signs a non-compete agreement, he would receive continued vesting of his stock options and restricted stock. There would be no acceleration, but the equity would continue to vest per the schedule as outlined in the grant agreements. </w:t>
      </w:r>
    </w:p>
    <w:p>
      <w:pPr>
        <w:pStyle w:val="TextBody"/>
        <w:spacing w:before="200" w:after="0"/>
        <w:jc w:val="both"/>
        <w:rPr>
          <w:rFonts w:ascii="arial" w:hAnsi="arial"/>
          <w:sz w:val="18"/>
        </w:rPr>
      </w:pPr>
      <w:r>
        <w:rPr>
          <w:rFonts w:ascii="arial" w:hAnsi="arial"/>
          <w:sz w:val="18"/>
        </w:rPr>
        <w:t xml:space="preserve">Ms. Ratekins termination benefits in the event of her termination without Cause or resignation for Good Reason, except in the case of a Change of Control, are covered under her Transitional Retirement Agreement. In these circumstances, Ms. Ratekins salary, bonus and welfare benefits would continue to be paid through her retirement date. In addition, Ms. Ratekins equity awards would continue to vest after termination as described in the table above beginning on page 49 of this Proxy Statement. </w:t>
      </w:r>
    </w:p>
    <w:p>
      <w:pPr>
        <w:pStyle w:val="TextBody"/>
        <w:spacing w:before="200" w:after="0"/>
        <w:jc w:val="both"/>
        <w:rPr>
          <w:rFonts w:ascii="arial" w:hAnsi="arial"/>
          <w:b/>
          <w:i/>
          <w:color w:val="00548B"/>
          <w:sz w:val="18"/>
        </w:rPr>
      </w:pPr>
      <w:r>
        <w:rPr>
          <w:rFonts w:ascii="arial" w:hAnsi="arial"/>
          <w:b/>
          <w:i/>
          <w:color w:val="00548B"/>
          <w:sz w:val="18"/>
        </w:rPr>
        <w:t xml:space="preserve">Termination of Employment Due to Death or Disability </w:t>
      </w:r>
    </w:p>
    <w:p>
      <w:pPr>
        <w:pStyle w:val="TextBody"/>
        <w:spacing w:before="0" w:after="0"/>
        <w:jc w:val="both"/>
        <w:rPr>
          <w:rFonts w:ascii="arial" w:hAnsi="arial"/>
          <w:sz w:val="18"/>
        </w:rPr>
      </w:pPr>
      <w:r>
        <w:rPr>
          <w:rFonts w:ascii="arial" w:hAnsi="arial"/>
          <w:sz w:val="18"/>
        </w:rPr>
        <w:t xml:space="preserve">If any of our executives dies or becomes disabled, his estate will receive payment of base salary and a pro rata bonus at target through the date of termination. The executive and/or his eligible dependents shall receive continuation of medical benefits for six months. In addition, unvested time-based equity outstanding will vest and unvested performance-based awards will vest in accordance with the applicable PSU agreement. </w:t>
      </w:r>
    </w:p>
    <w:p>
      <w:pPr>
        <w:pStyle w:val="TextBody"/>
        <w:spacing w:before="200" w:after="0"/>
        <w:jc w:val="both"/>
        <w:rPr>
          <w:rFonts w:ascii="arial" w:hAnsi="arial"/>
          <w:sz w:val="18"/>
        </w:rPr>
      </w:pPr>
      <w:r>
        <w:rPr>
          <w:rFonts w:ascii="arial" w:hAnsi="arial"/>
          <w:sz w:val="18"/>
        </w:rPr>
        <w:t xml:space="preserve">Ms. Ratekins termination benefits in the event of her death are covered under her Transitional Retirement Agreement. In this circumstance, Ms. Ratekins salary and bonus would continue to be paid through her retirement date. In addition, Ms. Ratekins equity awards would continue to vest after termination as described in the table above beginning on page 49 of this Proxy Statement.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i/>
          <w:color w:val="00548B"/>
          <w:sz w:val="18"/>
        </w:rPr>
      </w:pPr>
      <w:r>
        <w:rPr>
          <w:rFonts w:ascii="arial" w:hAnsi="arial"/>
          <w:b/>
          <w:i/>
          <w:color w:val="00548B"/>
          <w:sz w:val="18"/>
        </w:rPr>
        <w:t xml:space="preserve">Termination of Employment Due to Termination other than for Resignation for Good Reason or Due to Cause </w:t>
      </w:r>
    </w:p>
    <w:p>
      <w:pPr>
        <w:pStyle w:val="TextBody"/>
        <w:spacing w:before="0" w:after="0"/>
        <w:jc w:val="both"/>
        <w:rPr>
          <w:rFonts w:ascii="arial" w:hAnsi="arial"/>
          <w:sz w:val="18"/>
        </w:rPr>
      </w:pPr>
      <w:r>
        <w:rPr>
          <w:rFonts w:ascii="arial" w:hAnsi="arial"/>
          <w:sz w:val="18"/>
        </w:rPr>
        <w:t xml:space="preserve">No severance or benefits are paid if an executive officer is terminated for Cause or resigns other than for Good Reason as defined in the executives Senior Management Agreement. </w:t>
      </w:r>
    </w:p>
    <w:p>
      <w:pPr>
        <w:pStyle w:val="TextBody"/>
        <w:spacing w:before="200" w:after="0"/>
        <w:jc w:val="both"/>
        <w:rPr>
          <w:rFonts w:ascii="arial" w:hAnsi="arial"/>
          <w:b/>
          <w:i/>
          <w:color w:val="00548B"/>
          <w:sz w:val="18"/>
        </w:rPr>
      </w:pPr>
      <w:r>
        <w:rPr>
          <w:rFonts w:ascii="arial" w:hAnsi="arial"/>
          <w:b/>
          <w:i/>
          <w:color w:val="00548B"/>
          <w:sz w:val="18"/>
        </w:rPr>
        <w:t xml:space="preserve">Termination without Cause or Resignation for Good Reason Related to a Change of Control </w:t>
      </w:r>
    </w:p>
    <w:p>
      <w:pPr>
        <w:pStyle w:val="TextBody"/>
        <w:spacing w:before="0" w:after="0"/>
        <w:jc w:val="both"/>
        <w:rPr>
          <w:rFonts w:ascii="arial" w:hAnsi="arial"/>
          <w:sz w:val="18"/>
        </w:rPr>
      </w:pPr>
      <w:r>
        <w:rPr>
          <w:rFonts w:ascii="arial" w:hAnsi="arial"/>
          <w:sz w:val="18"/>
        </w:rPr>
        <w:t xml:space="preserve">If any of our executives with a Senior Management Agreement is terminated without Cause or resigns for Good Reason in conjunction with a Change of Control, as defined in his Senior Management Agreement, upon executing a general release and waiver, the Company is obligated to pay severance and continuation of benefits in varying amounts. </w:t>
      </w:r>
    </w:p>
    <w:p>
      <w:pPr>
        <w:pStyle w:val="TextBody"/>
        <w:spacing w:before="200" w:after="0"/>
        <w:jc w:val="both"/>
        <w:rPr>
          <w:rFonts w:ascii="arial" w:hAnsi="arial"/>
          <w:sz w:val="18"/>
        </w:rPr>
      </w:pPr>
      <w:r>
        <w:rPr>
          <w:rFonts w:ascii="arial" w:hAnsi="arial"/>
          <w:sz w:val="18"/>
        </w:rPr>
        <w:t xml:space="preserve">The following severance benefits are payable to each of our named executive officers upon termination without Cause or resignation for Good Reason, in the case of a Change of Control, as of December 31, 2020: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1873"/>
        <w:gridCol w:w="208"/>
        <w:gridCol w:w="8124"/>
      </w:tblGrid>
      <w:tr>
        <w:trPr/>
        <w:tc>
          <w:tcPr>
            <w:tcW w:w="1873" w:type="dxa"/>
            <w:tcBorders/>
            <w:shd w:fill="auto" w:val="clear"/>
            <w:vAlign w:val="center"/>
          </w:tcPr>
          <w:p>
            <w:pPr>
              <w:pStyle w:val="TableContents"/>
              <w:spacing w:before="0" w:after="283"/>
              <w:rPr>
                <w:sz w:val="4"/>
                <w:szCs w:val="4"/>
              </w:rPr>
            </w:pPr>
            <w:r>
              <w:rPr>
                <w:sz w:val="4"/>
                <w:szCs w:val="4"/>
              </w:rPr>
            </w:r>
          </w:p>
        </w:tc>
        <w:tc>
          <w:tcPr>
            <w:tcW w:w="208" w:type="dxa"/>
            <w:tcBorders/>
            <w:shd w:fill="auto" w:val="clear"/>
            <w:vAlign w:val="bottom"/>
          </w:tcPr>
          <w:p>
            <w:pPr>
              <w:pStyle w:val="TableContents"/>
              <w:spacing w:before="0" w:after="283"/>
              <w:rPr>
                <w:sz w:val="4"/>
                <w:szCs w:val="4"/>
              </w:rPr>
            </w:pPr>
            <w:r>
              <w:rPr>
                <w:sz w:val="4"/>
                <w:szCs w:val="4"/>
              </w:rPr>
            </w:r>
          </w:p>
        </w:tc>
        <w:tc>
          <w:tcPr>
            <w:tcW w:w="8124" w:type="dxa"/>
            <w:tcBorders/>
            <w:shd w:fill="auto" w:val="clear"/>
            <w:vAlign w:val="center"/>
          </w:tcPr>
          <w:p>
            <w:pPr>
              <w:pStyle w:val="TableContents"/>
              <w:spacing w:before="0" w:after="283"/>
              <w:rPr>
                <w:sz w:val="4"/>
                <w:szCs w:val="4"/>
              </w:rPr>
            </w:pPr>
            <w:r>
              <w:rPr>
                <w:sz w:val="4"/>
                <w:szCs w:val="4"/>
              </w:rPr>
            </w:r>
          </w:p>
        </w:tc>
      </w:tr>
      <w:tr>
        <w:trPr/>
        <w:tc>
          <w:tcPr>
            <w:tcW w:w="1873" w:type="dxa"/>
            <w:tcBorders>
              <w:left w:val="single" w:sz="2" w:space="0" w:color="00548B"/>
            </w:tcBorders>
            <w:shd w:fill="00548B" w:val="clear"/>
            <w:tcMar>
              <w:left w:w="160" w:type="dxa"/>
            </w:tcMar>
            <w:vAlign w:val="bottom"/>
          </w:tcPr>
          <w:p>
            <w:pPr>
              <w:pStyle w:val="TableContents"/>
              <w:spacing w:before="0" w:after="283"/>
              <w:rPr>
                <w:b/>
                <w:color w:val="D8D8D8"/>
              </w:rPr>
            </w:pPr>
            <w:r>
              <w:rPr>
                <w:b/>
                <w:color w:val="D8D8D8"/>
              </w:rPr>
              <w:t>Executive</w:t>
            </w:r>
          </w:p>
        </w:tc>
        <w:tc>
          <w:tcPr>
            <w:tcW w:w="208" w:type="dxa"/>
            <w:tcBorders>
              <w:left w:val="single" w:sz="2" w:space="0" w:color="999999"/>
            </w:tcBorders>
            <w:shd w:fill="00548B" w:val="clear"/>
            <w:tcMar>
              <w:left w:w="28" w:type="dxa"/>
            </w:tcMar>
            <w:vAlign w:val="bottom"/>
          </w:tcPr>
          <w:p>
            <w:pPr>
              <w:pStyle w:val="TableContents"/>
              <w:spacing w:before="0" w:after="283"/>
              <w:rPr/>
            </w:pPr>
            <w:r>
              <w:rPr/>
              <w:t>  </w:t>
            </w:r>
          </w:p>
        </w:tc>
        <w:tc>
          <w:tcPr>
            <w:tcW w:w="8124" w:type="dxa"/>
            <w:tcBorders>
              <w:right w:val="single" w:sz="2" w:space="0" w:color="00548B"/>
            </w:tcBorders>
            <w:shd w:fill="00548B" w:val="clear"/>
            <w:tcMar>
              <w:right w:w="40" w:type="dxa"/>
            </w:tcMar>
            <w:vAlign w:val="bottom"/>
          </w:tcPr>
          <w:p>
            <w:pPr>
              <w:pStyle w:val="TableContents"/>
              <w:spacing w:before="0" w:after="283"/>
              <w:jc w:val="center"/>
              <w:rPr>
                <w:b/>
                <w:color w:val="D8D8D8"/>
              </w:rPr>
            </w:pPr>
            <w:r>
              <w:rPr>
                <w:b/>
                <w:color w:val="D8D8D8"/>
              </w:rPr>
              <w:t>Severance Benefits</w:t>
            </w:r>
          </w:p>
        </w:tc>
      </w:tr>
      <w:tr>
        <w:trPr/>
        <w:tc>
          <w:tcPr>
            <w:tcW w:w="1873" w:type="dxa"/>
            <w:tcBorders>
              <w:left w:val="single" w:sz="2" w:space="0" w:color="00548B"/>
              <w:bottom w:val="single" w:sz="2" w:space="0" w:color="999999"/>
            </w:tcBorders>
            <w:shd w:fill="auto" w:val="clear"/>
            <w:tcMar>
              <w:left w:w="160" w:type="dxa"/>
              <w:bottom w:w="28" w:type="dxa"/>
            </w:tcMar>
          </w:tcPr>
          <w:p>
            <w:pPr>
              <w:pStyle w:val="TableContents"/>
              <w:spacing w:before="0" w:after="0"/>
              <w:jc w:val="both"/>
              <w:rPr>
                <w:rFonts w:ascii="arial" w:hAnsi="arial"/>
                <w:sz w:val="18"/>
              </w:rPr>
            </w:pPr>
            <w:r>
              <w:rPr>
                <w:rFonts w:ascii="arial" w:hAnsi="arial"/>
                <w:sz w:val="18"/>
              </w:rPr>
              <w:t>James H. Roth</w:t>
            </w:r>
          </w:p>
        </w:tc>
        <w:tc>
          <w:tcPr>
            <w:tcW w:w="20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8124" w:type="dxa"/>
            <w:tcBorders>
              <w:bottom w:val="single" w:sz="2" w:space="0" w:color="999999"/>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An amount in cash equal to two and one-half times the sum of his then current annual base salary and his then current target bonus, pro rata target bonus in the year of termination, 30 months continuation of medical insurance, and accelerated vesting of all outstanding equity grants that were awarded at or prior to the time of the Change of Control. Severance amounts are payable in a lump sum.</w:t>
            </w:r>
          </w:p>
        </w:tc>
      </w:tr>
      <w:tr>
        <w:trPr/>
        <w:tc>
          <w:tcPr>
            <w:tcW w:w="1873" w:type="dxa"/>
            <w:tcBorders>
              <w:left w:val="single" w:sz="2" w:space="0" w:color="00548B"/>
              <w:bottom w:val="single" w:sz="2" w:space="0" w:color="999999"/>
            </w:tcBorders>
            <w:shd w:fill="auto" w:val="clear"/>
            <w:tcMar>
              <w:left w:w="160" w:type="dxa"/>
              <w:bottom w:w="28" w:type="dxa"/>
            </w:tcMar>
          </w:tcPr>
          <w:p>
            <w:pPr>
              <w:pStyle w:val="TableContents"/>
              <w:spacing w:before="0" w:after="0"/>
              <w:jc w:val="both"/>
              <w:rPr>
                <w:rFonts w:ascii="arial" w:hAnsi="arial"/>
                <w:sz w:val="18"/>
              </w:rPr>
            </w:pPr>
            <w:r>
              <w:rPr>
                <w:rFonts w:ascii="arial" w:hAnsi="arial"/>
                <w:sz w:val="18"/>
              </w:rPr>
              <w:t>C. Mark Hussey</w:t>
            </w:r>
          </w:p>
        </w:tc>
        <w:tc>
          <w:tcPr>
            <w:tcW w:w="208"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8124" w:type="dxa"/>
            <w:tcBorders>
              <w:bottom w:val="single" w:sz="2" w:space="0" w:color="999999"/>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An amount in cash equal to two times the sum of his then current annual base salary and his then current target bonus, pro rata target bonus in the year of termination, 24 months continuation of medical insurance, and accelerated vesting of all outstanding equity grants that were awarded at or prior to the time of the Change of Control. Severance amounts are payable in a lump sum.</w:t>
            </w:r>
          </w:p>
        </w:tc>
      </w:tr>
      <w:tr>
        <w:trPr/>
        <w:tc>
          <w:tcPr>
            <w:tcW w:w="1873" w:type="dxa"/>
            <w:tcBorders>
              <w:left w:val="single" w:sz="2" w:space="0" w:color="00548B"/>
              <w:bottom w:val="single" w:sz="2" w:space="0" w:color="00548B"/>
            </w:tcBorders>
            <w:shd w:fill="auto" w:val="clear"/>
            <w:tcMar>
              <w:left w:w="160" w:type="dxa"/>
              <w:bottom w:w="28" w:type="dxa"/>
            </w:tcMar>
          </w:tcPr>
          <w:p>
            <w:pPr>
              <w:pStyle w:val="TableContents"/>
              <w:spacing w:before="0" w:after="283"/>
              <w:rPr/>
            </w:pPr>
            <w:r>
              <w:rPr/>
              <w:t>John D. Kelly, &amp; Ernest W. Torain, Jr.</w:t>
            </w:r>
          </w:p>
        </w:tc>
        <w:tc>
          <w:tcPr>
            <w:tcW w:w="208" w:type="dxa"/>
            <w:tcBorders>
              <w:left w:val="single" w:sz="2" w:space="0" w:color="999999"/>
              <w:bottom w:val="single" w:sz="2" w:space="0" w:color="00548B"/>
            </w:tcBorders>
            <w:shd w:fill="auto" w:val="clear"/>
            <w:tcMar>
              <w:left w:w="28" w:type="dxa"/>
              <w:bottom w:w="28" w:type="dxa"/>
            </w:tcMar>
            <w:vAlign w:val="bottom"/>
          </w:tcPr>
          <w:p>
            <w:pPr>
              <w:pStyle w:val="TableContents"/>
              <w:spacing w:before="0" w:after="283"/>
              <w:rPr/>
            </w:pPr>
            <w:r>
              <w:rPr/>
              <w:t>  </w:t>
            </w:r>
          </w:p>
        </w:tc>
        <w:tc>
          <w:tcPr>
            <w:tcW w:w="8124" w:type="dxa"/>
            <w:tcBorders>
              <w:bottom w:val="single" w:sz="2" w:space="0" w:color="00548B"/>
              <w:right w:val="single" w:sz="2" w:space="0" w:color="00548B"/>
            </w:tcBorders>
            <w:shd w:fill="auto" w:val="clear"/>
            <w:tcMar>
              <w:bottom w:w="28" w:type="dxa"/>
              <w:right w:w="40" w:type="dxa"/>
            </w:tcMar>
            <w:vAlign w:val="bottom"/>
          </w:tcPr>
          <w:p>
            <w:pPr>
              <w:pStyle w:val="TableContents"/>
              <w:spacing w:before="0" w:after="0"/>
              <w:jc w:val="both"/>
              <w:rPr>
                <w:rFonts w:ascii="arial" w:hAnsi="arial"/>
                <w:sz w:val="18"/>
              </w:rPr>
            </w:pPr>
            <w:r>
              <w:rPr>
                <w:rFonts w:ascii="arial" w:hAnsi="arial"/>
                <w:sz w:val="18"/>
              </w:rPr>
              <w:t>An amount in cash equal to one and one-half times the sum of his then current annual base salary and his then current target bonus, pro rata target bonus in the year of termination, 18 months continuation of medical insurance, and accelerated vesting of all outstanding equity grants that were awarded at or prior to the time of the Change of Control. Severance amounts are payable in a lump sum.</w:t>
            </w:r>
          </w:p>
        </w:tc>
      </w:tr>
    </w:tbl>
    <w:p>
      <w:pPr>
        <w:pStyle w:val="TextBody"/>
        <w:spacing w:before="200" w:after="0"/>
        <w:jc w:val="both"/>
        <w:rPr>
          <w:rFonts w:ascii="arial" w:hAnsi="arial"/>
          <w:b/>
          <w:i/>
          <w:color w:val="00548B"/>
          <w:sz w:val="18"/>
        </w:rPr>
      </w:pPr>
      <w:r>
        <w:rPr>
          <w:rFonts w:ascii="arial" w:hAnsi="arial"/>
          <w:b/>
          <w:i/>
          <w:color w:val="00548B"/>
          <w:sz w:val="18"/>
        </w:rPr>
        <w:t xml:space="preserve">Golden Parachute Cutback </w:t>
      </w:r>
    </w:p>
    <w:p>
      <w:pPr>
        <w:pStyle w:val="TextBody"/>
        <w:spacing w:before="0" w:after="0"/>
        <w:jc w:val="both"/>
        <w:rPr>
          <w:rFonts w:ascii="arial" w:hAnsi="arial"/>
          <w:sz w:val="18"/>
        </w:rPr>
      </w:pPr>
      <w:r>
        <w:rPr>
          <w:rFonts w:ascii="arial" w:hAnsi="arial"/>
          <w:sz w:val="18"/>
        </w:rPr>
        <w:t xml:space="preserve">All four Senior Management Agreements provide that, if any amount, right or benefit paid or payable to the executive under his Senior Management Agreement or any other plan, program or arrangement would constitute an excess parachute payment under Section 280G of the Code, subject to the excise tax imposed by Section 4999 of the Code, then the amount of payments payable to the executive under his Senior Management Agreement will be reduced to the extent necessary so that no portion of such payments is subject to such excise tax. </w:t>
      </w:r>
    </w:p>
    <w:p>
      <w:pPr>
        <w:pStyle w:val="TextBody"/>
        <w:spacing w:before="200" w:after="0"/>
        <w:jc w:val="both"/>
        <w:rPr>
          <w:rFonts w:ascii="arial" w:hAnsi="arial"/>
          <w:b/>
          <w:color w:val="00548B"/>
          <w:sz w:val="20"/>
        </w:rPr>
      </w:pPr>
      <w:r>
        <w:rPr>
          <w:rFonts w:ascii="arial" w:hAnsi="arial"/>
          <w:b/>
          <w:color w:val="00548B"/>
          <w:sz w:val="20"/>
        </w:rPr>
        <w:t>P</w:t>
      </w:r>
      <w:r>
        <w:rPr>
          <w:rFonts w:ascii="arial" w:hAnsi="arial"/>
          <w:b/>
          <w:color w:val="00548B"/>
          <w:sz w:val="14"/>
        </w:rPr>
        <w:t>OTENTIAL</w:t>
      </w:r>
      <w:r>
        <w:rPr>
          <w:rFonts w:ascii="arial" w:hAnsi="arial"/>
          <w:b/>
          <w:color w:val="00548B"/>
          <w:sz w:val="20"/>
        </w:rPr>
        <w:t xml:space="preserve"> P</w:t>
      </w:r>
      <w:r>
        <w:rPr>
          <w:rFonts w:ascii="arial" w:hAnsi="arial"/>
          <w:b/>
          <w:color w:val="00548B"/>
          <w:sz w:val="14"/>
        </w:rPr>
        <w:t>AYMENTS</w:t>
      </w:r>
      <w:r>
        <w:rPr>
          <w:rFonts w:ascii="arial" w:hAnsi="arial"/>
          <w:b/>
          <w:color w:val="00548B"/>
          <w:sz w:val="20"/>
        </w:rPr>
        <w:t xml:space="preserve"> </w:t>
      </w:r>
      <w:r>
        <w:rPr>
          <w:rFonts w:ascii="arial" w:hAnsi="arial"/>
          <w:b/>
          <w:color w:val="00548B"/>
          <w:sz w:val="14"/>
        </w:rPr>
        <w:t>UPON</w:t>
      </w:r>
      <w:r>
        <w:rPr>
          <w:rFonts w:ascii="arial" w:hAnsi="arial"/>
          <w:b/>
          <w:color w:val="00548B"/>
          <w:sz w:val="20"/>
        </w:rPr>
        <w:t xml:space="preserve"> T</w:t>
      </w:r>
      <w:r>
        <w:rPr>
          <w:rFonts w:ascii="arial" w:hAnsi="arial"/>
          <w:b/>
          <w:color w:val="00548B"/>
          <w:sz w:val="14"/>
        </w:rPr>
        <w:t>ERMINATION</w:t>
      </w:r>
      <w:r>
        <w:rPr>
          <w:rFonts w:ascii="arial" w:hAnsi="arial"/>
          <w:b/>
          <w:color w:val="00548B"/>
          <w:sz w:val="20"/>
        </w:rPr>
        <w:t xml:space="preserve"> </w:t>
      </w:r>
      <w:r>
        <w:rPr>
          <w:rFonts w:ascii="arial" w:hAnsi="arial"/>
          <w:b/>
          <w:color w:val="00548B"/>
          <w:sz w:val="14"/>
        </w:rPr>
        <w:t>OR</w:t>
      </w:r>
      <w:r>
        <w:rPr>
          <w:rFonts w:ascii="arial" w:hAnsi="arial"/>
          <w:b/>
          <w:color w:val="00548B"/>
          <w:sz w:val="20"/>
        </w:rPr>
        <w:t xml:space="preserve"> C</w:t>
      </w:r>
      <w:r>
        <w:rPr>
          <w:rFonts w:ascii="arial" w:hAnsi="arial"/>
          <w:b/>
          <w:color w:val="00548B"/>
          <w:sz w:val="14"/>
        </w:rPr>
        <w:t>HANGE</w:t>
      </w:r>
      <w:r>
        <w:rPr>
          <w:rFonts w:ascii="arial" w:hAnsi="arial"/>
          <w:b/>
          <w:color w:val="00548B"/>
          <w:sz w:val="20"/>
        </w:rPr>
        <w:t xml:space="preserve"> </w:t>
      </w:r>
      <w:r>
        <w:rPr>
          <w:rFonts w:ascii="arial" w:hAnsi="arial"/>
          <w:b/>
          <w:color w:val="00548B"/>
          <w:sz w:val="14"/>
        </w:rPr>
        <w:t>OF</w:t>
      </w:r>
      <w:r>
        <w:rPr>
          <w:rFonts w:ascii="arial" w:hAnsi="arial"/>
          <w:b/>
          <w:color w:val="00548B"/>
          <w:sz w:val="20"/>
        </w:rPr>
        <w:t xml:space="preserve"> C</w:t>
      </w:r>
      <w:r>
        <w:rPr>
          <w:rFonts w:ascii="arial" w:hAnsi="arial"/>
          <w:b/>
          <w:color w:val="00548B"/>
          <w:sz w:val="14"/>
        </w:rPr>
        <w:t>ONTROL</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estimated amount payable or provided to each named executive officer in each situation is summarized below. These estimates are based on the assumption that the various triggering events occurred on the last day of 2020, along with other material assumptions noted below. The actual amounts that would be paid to a named executive officer upon termination or a change of control can only be determined at the time the actual triggering event occurs. The estimated amount of compensation and benefits described below does not take into account compensation and benefits that a named executive officer has earned prior to the applicable triggering event, such as equity awards that have previously vested in accordance with their terms or vested benefits otherwise payable under our compensation programs.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The following table and summary set forth potential payments we would be required to make to our named executive officers upon termination of employment or change of control. The table assumes termination of employment on December 31, 2020 and uses a share price of $58.95, the closing price of our stock on December 31, 2020. </w:t>
      </w:r>
    </w:p>
    <w:p>
      <w:pPr>
        <w:pStyle w:val="TextBody"/>
        <w:spacing w:before="0" w:after="0"/>
        <w:jc w:val="left"/>
        <w:rPr/>
      </w:pPr>
      <w:r>
        <w:rPr/>
        <w:t> </w:t>
      </w:r>
    </w:p>
    <w:tbl>
      <w:tblPr>
        <w:tblW w:w="11040" w:type="dxa"/>
        <w:jc w:val="center"/>
        <w:tblInd w:w="0" w:type="dxa"/>
        <w:tblCellMar>
          <w:top w:w="0" w:type="dxa"/>
          <w:left w:w="0" w:type="dxa"/>
          <w:bottom w:w="0" w:type="dxa"/>
          <w:right w:w="0" w:type="dxa"/>
        </w:tblCellMar>
      </w:tblPr>
      <w:tblGrid>
        <w:gridCol w:w="635"/>
        <w:gridCol w:w="60"/>
        <w:gridCol w:w="1220"/>
        <w:gridCol w:w="60"/>
        <w:gridCol w:w="436"/>
        <w:gridCol w:w="1129"/>
        <w:gridCol w:w="60"/>
        <w:gridCol w:w="60"/>
        <w:gridCol w:w="133"/>
        <w:gridCol w:w="2422"/>
        <w:gridCol w:w="60"/>
        <w:gridCol w:w="60"/>
        <w:gridCol w:w="93"/>
        <w:gridCol w:w="1697"/>
        <w:gridCol w:w="60"/>
        <w:gridCol w:w="60"/>
        <w:gridCol w:w="128"/>
        <w:gridCol w:w="2607"/>
        <w:gridCol w:w="60"/>
      </w:tblGrid>
      <w:tr>
        <w:trPr/>
        <w:tc>
          <w:tcPr>
            <w:tcW w:w="635"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2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1129"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33" w:type="dxa"/>
            <w:tcBorders/>
            <w:shd w:fill="auto" w:val="clear"/>
            <w:vAlign w:val="center"/>
          </w:tcPr>
          <w:p>
            <w:pPr>
              <w:pStyle w:val="TableContents"/>
              <w:spacing w:before="0" w:after="283"/>
              <w:rPr>
                <w:sz w:val="4"/>
                <w:szCs w:val="4"/>
              </w:rPr>
            </w:pPr>
            <w:r>
              <w:rPr>
                <w:sz w:val="4"/>
                <w:szCs w:val="4"/>
              </w:rPr>
            </w:r>
          </w:p>
        </w:tc>
        <w:tc>
          <w:tcPr>
            <w:tcW w:w="2422"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93" w:type="dxa"/>
            <w:tcBorders/>
            <w:shd w:fill="auto" w:val="clear"/>
            <w:vAlign w:val="center"/>
          </w:tcPr>
          <w:p>
            <w:pPr>
              <w:pStyle w:val="TableContents"/>
              <w:spacing w:before="0" w:after="283"/>
              <w:rPr>
                <w:sz w:val="4"/>
                <w:szCs w:val="4"/>
              </w:rPr>
            </w:pPr>
            <w:r>
              <w:rPr>
                <w:sz w:val="4"/>
                <w:szCs w:val="4"/>
              </w:rPr>
            </w:r>
          </w:p>
        </w:tc>
        <w:tc>
          <w:tcPr>
            <w:tcW w:w="169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128" w:type="dxa"/>
            <w:tcBorders/>
            <w:shd w:fill="auto" w:val="clear"/>
            <w:vAlign w:val="center"/>
          </w:tcPr>
          <w:p>
            <w:pPr>
              <w:pStyle w:val="TableContents"/>
              <w:spacing w:before="0" w:after="283"/>
              <w:rPr>
                <w:sz w:val="4"/>
                <w:szCs w:val="4"/>
              </w:rPr>
            </w:pPr>
            <w:r>
              <w:rPr>
                <w:sz w:val="4"/>
                <w:szCs w:val="4"/>
              </w:rPr>
            </w:r>
          </w:p>
        </w:tc>
        <w:tc>
          <w:tcPr>
            <w:tcW w:w="2607"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r>
      <w:tr>
        <w:trPr/>
        <w:tc>
          <w:tcPr>
            <w:tcW w:w="635" w:type="dxa"/>
            <w:tcBorders/>
            <w:shd w:fill="00548B" w:val="clear"/>
            <w:vAlign w:val="bottom"/>
          </w:tcPr>
          <w:p>
            <w:pPr>
              <w:pStyle w:val="TableContents"/>
              <w:spacing w:before="0" w:after="283"/>
              <w:rPr>
                <w:b/>
                <w:color w:val="D8D8D8"/>
              </w:rPr>
            </w:pPr>
            <w:r>
              <w:rPr>
                <w:b/>
                <w:color w:val="D8D8D8"/>
              </w:rPr>
              <w:t>Name</w:t>
            </w:r>
          </w:p>
        </w:tc>
        <w:tc>
          <w:tcPr>
            <w:tcW w:w="60" w:type="dxa"/>
            <w:tcBorders/>
            <w:shd w:fill="00548B" w:val="clear"/>
            <w:vAlign w:val="bottom"/>
          </w:tcPr>
          <w:p>
            <w:pPr>
              <w:pStyle w:val="TableContents"/>
              <w:spacing w:before="0" w:after="283"/>
              <w:rPr/>
            </w:pPr>
            <w:r>
              <w:rPr/>
              <w:t> </w:t>
            </w:r>
          </w:p>
        </w:tc>
        <w:tc>
          <w:tcPr>
            <w:tcW w:w="1220" w:type="dxa"/>
            <w:tcBorders/>
            <w:shd w:fill="00548B" w:val="clear"/>
            <w:vAlign w:val="bottom"/>
          </w:tcPr>
          <w:p>
            <w:pPr>
              <w:pStyle w:val="TableContents"/>
              <w:spacing w:before="0" w:after="283"/>
              <w:jc w:val="center"/>
              <w:rPr>
                <w:color w:val="D8D8D8"/>
              </w:rPr>
            </w:pPr>
            <w:r>
              <w:rPr>
                <w:color w:val="D8D8D8"/>
              </w:rPr>
              <w:t>    </w:t>
            </w:r>
            <w:r>
              <w:rPr>
                <w:b/>
                <w:color w:val="D8D8D8"/>
              </w:rPr>
              <w:t>Benefit    </w:t>
            </w:r>
          </w:p>
        </w:tc>
        <w:tc>
          <w:tcPr>
            <w:tcW w:w="60" w:type="dxa"/>
            <w:tcBorders/>
            <w:shd w:fill="00548B" w:val="clear"/>
            <w:vAlign w:val="bottom"/>
          </w:tcPr>
          <w:p>
            <w:pPr>
              <w:pStyle w:val="TableContents"/>
              <w:spacing w:before="0" w:after="283"/>
              <w:rPr/>
            </w:pPr>
            <w:r>
              <w:rPr/>
              <w:t> </w:t>
            </w:r>
          </w:p>
        </w:tc>
        <w:tc>
          <w:tcPr>
            <w:tcW w:w="1565" w:type="dxa"/>
            <w:gridSpan w:val="2"/>
            <w:tcBorders/>
            <w:shd w:fill="00548B" w:val="clear"/>
            <w:vAlign w:val="bottom"/>
          </w:tcPr>
          <w:p>
            <w:pPr>
              <w:pStyle w:val="TableContents"/>
              <w:spacing w:before="0" w:after="0"/>
              <w:jc w:val="center"/>
              <w:rPr>
                <w:rFonts w:ascii="arial" w:hAnsi="arial"/>
                <w:b/>
                <w:color w:val="D8D8D8"/>
                <w:sz w:val="16"/>
              </w:rPr>
            </w:pPr>
            <w:r>
              <w:rPr>
                <w:rFonts w:ascii="arial" w:hAnsi="arial"/>
                <w:b/>
                <w:color w:val="D8D8D8"/>
                <w:sz w:val="16"/>
              </w:rPr>
              <w:t>Voluntary</w:t>
              <w:br/>
              <w:t>Termination/</w:t>
            </w:r>
          </w:p>
          <w:p>
            <w:pPr>
              <w:pStyle w:val="TableContents"/>
              <w:spacing w:before="0" w:after="20"/>
              <w:jc w:val="center"/>
              <w:rPr>
                <w:color w:val="D8D8D8"/>
              </w:rPr>
            </w:pPr>
            <w:r>
              <w:rPr>
                <w:color w:val="D8D8D8"/>
              </w:rPr>
              <w:t>    </w:t>
            </w:r>
            <w:r>
              <w:rPr>
                <w:rFonts w:ascii="arial" w:hAnsi="arial"/>
                <w:b/>
                <w:color w:val="D8D8D8"/>
                <w:sz w:val="16"/>
              </w:rPr>
              <w:t>Retirement ($)    </w:t>
            </w:r>
          </w:p>
        </w:tc>
        <w:tc>
          <w:tcPr>
            <w:tcW w:w="60"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2555" w:type="dxa"/>
            <w:gridSpan w:val="2"/>
            <w:tcBorders/>
            <w:shd w:fill="00548B" w:val="clear"/>
            <w:vAlign w:val="bottom"/>
          </w:tcPr>
          <w:p>
            <w:pPr>
              <w:pStyle w:val="TableContents"/>
              <w:spacing w:before="0" w:after="283"/>
              <w:jc w:val="center"/>
              <w:rPr>
                <w:b/>
                <w:color w:val="D8D8D8"/>
              </w:rPr>
            </w:pPr>
            <w:r>
              <w:rPr>
                <w:b/>
                <w:color w:val="D8D8D8"/>
              </w:rPr>
              <w:t>Termination without</w:t>
              <w:br/>
              <w:t>Cause or resignation</w:t>
              <w:br/>
              <w:t>    for Good Reason ($)    </w:t>
            </w:r>
          </w:p>
        </w:tc>
        <w:tc>
          <w:tcPr>
            <w:tcW w:w="60"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1790" w:type="dxa"/>
            <w:gridSpan w:val="2"/>
            <w:tcBorders/>
            <w:shd w:fill="00548B" w:val="clear"/>
            <w:vAlign w:val="bottom"/>
          </w:tcPr>
          <w:p>
            <w:pPr>
              <w:pStyle w:val="TableContents"/>
              <w:spacing w:before="0" w:after="0"/>
              <w:jc w:val="center"/>
              <w:rPr>
                <w:rFonts w:ascii="arial" w:hAnsi="arial"/>
                <w:b/>
                <w:color w:val="D8D8D8"/>
                <w:sz w:val="16"/>
              </w:rPr>
            </w:pPr>
            <w:r>
              <w:rPr>
                <w:rFonts w:ascii="arial" w:hAnsi="arial"/>
                <w:b/>
                <w:color w:val="D8D8D8"/>
                <w:sz w:val="16"/>
              </w:rPr>
              <w:t>Permanent Disability</w:t>
            </w:r>
          </w:p>
          <w:p>
            <w:pPr>
              <w:pStyle w:val="TableContents"/>
              <w:spacing w:before="0" w:after="20"/>
              <w:jc w:val="center"/>
              <w:rPr>
                <w:color w:val="D8D8D8"/>
              </w:rPr>
            </w:pPr>
            <w:r>
              <w:rPr>
                <w:color w:val="D8D8D8"/>
              </w:rPr>
              <w:t>        </w:t>
            </w:r>
            <w:r>
              <w:rPr>
                <w:rFonts w:ascii="arial" w:hAnsi="arial"/>
                <w:b/>
                <w:color w:val="D8D8D8"/>
                <w:sz w:val="16"/>
              </w:rPr>
              <w:t xml:space="preserve">or Death ($)         </w:t>
            </w:r>
          </w:p>
        </w:tc>
        <w:tc>
          <w:tcPr>
            <w:tcW w:w="60" w:type="dxa"/>
            <w:tcBorders/>
            <w:shd w:fill="00548B" w:val="cle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2735" w:type="dxa"/>
            <w:gridSpan w:val="2"/>
            <w:tcBorders/>
            <w:shd w:fill="00548B" w:val="clear"/>
            <w:vAlign w:val="bottom"/>
          </w:tcPr>
          <w:p>
            <w:pPr>
              <w:pStyle w:val="TableContents"/>
              <w:spacing w:before="0" w:after="283"/>
              <w:jc w:val="center"/>
              <w:rPr>
                <w:b/>
                <w:color w:val="D8D8D8"/>
              </w:rPr>
            </w:pPr>
            <w:r>
              <w:rPr>
                <w:b/>
                <w:color w:val="D8D8D8"/>
              </w:rPr>
              <w:t>Involuntary</w:t>
              <w:br/>
              <w:t>Termination Following</w:t>
              <w:br/>
              <w:t>    Change of Control ($)    </w:t>
            </w:r>
          </w:p>
        </w:tc>
        <w:tc>
          <w:tcPr>
            <w:tcW w:w="60" w:type="dxa"/>
            <w:tcBorders/>
            <w:shd w:fill="00548B" w:val="clear"/>
            <w:vAlign w:val="bottom"/>
          </w:tcPr>
          <w:p>
            <w:pPr>
              <w:pStyle w:val="TableContents"/>
              <w:spacing w:before="0" w:after="283"/>
              <w:rPr/>
            </w:pPr>
            <w:r>
              <w:rPr/>
              <w:t> </w:t>
            </w:r>
          </w:p>
        </w:tc>
      </w:tr>
      <w:tr>
        <w:trPr/>
        <w:tc>
          <w:tcPr>
            <w:tcW w:w="635" w:type="dxa"/>
            <w:tcBorders/>
            <w:shd w:fill="auto" w:val="clear"/>
          </w:tcPr>
          <w:p>
            <w:pPr>
              <w:pStyle w:val="TableContents"/>
              <w:spacing w:before="0" w:after="0"/>
              <w:rPr>
                <w:rFonts w:ascii="arial" w:hAnsi="arial"/>
                <w:sz w:val="18"/>
              </w:rPr>
            </w:pPr>
            <w:r>
              <w:rPr>
                <w:rFonts w:ascii="arial" w:hAnsi="arial"/>
                <w:sz w:val="18"/>
              </w:rPr>
              <w:t>James H. Roth</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Salary</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1,900,000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2,375,000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Bonus</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2,660,000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3,325,000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Pro rata bonus (1)</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1,330,000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1,330,000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Equity acceleration (2)</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1,586,698</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4,816,510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Benefits continuation</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32,596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8,596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40,745</w:t>
            </w:r>
          </w:p>
        </w:tc>
        <w:tc>
          <w:tcPr>
            <w:tcW w:w="60" w:type="dxa"/>
            <w:tcBorders/>
            <w:shd w:fill="auto" w:val="clear"/>
            <w:vAlign w:val="bottom"/>
          </w:tcPr>
          <w:p>
            <w:pPr>
              <w:pStyle w:val="TableContents"/>
              <w:spacing w:before="0" w:after="283"/>
              <w:rPr/>
            </w:pPr>
            <w:r>
              <w:rPr/>
              <w:t> </w:t>
            </w:r>
          </w:p>
        </w:tc>
      </w:tr>
      <w:tr>
        <w:trPr/>
        <w:tc>
          <w:tcPr>
            <w:tcW w:w="63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20" w:type="dxa"/>
            <w:tcBorders>
              <w:bottom w:val="single" w:sz="2" w:space="0" w:color="999999"/>
            </w:tcBorders>
            <w:shd w:fill="auto" w:val="clear"/>
            <w:tcMar>
              <w:bottom w:w="28" w:type="dxa"/>
            </w:tcMar>
            <w:vAlign w:val="bottom"/>
          </w:tcPr>
          <w:p>
            <w:pPr>
              <w:pStyle w:val="TableContents"/>
              <w:spacing w:before="0" w:after="283"/>
              <w:rPr/>
            </w:pPr>
            <w:r>
              <w:rPr/>
              <w:t>Cutback (3)</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436" w:type="dxa"/>
            <w:tcBorders>
              <w:bottom w:val="single" w:sz="2" w:space="0" w:color="999999"/>
            </w:tcBorders>
            <w:shd w:fill="auto" w:val="clear"/>
            <w:tcMar>
              <w:bottom w:w="28" w:type="dxa"/>
            </w:tcMar>
            <w:vAlign w:val="bottom"/>
          </w:tcPr>
          <w:p>
            <w:pPr>
              <w:pStyle w:val="TableContents"/>
              <w:spacing w:before="0" w:after="283"/>
              <w:rPr/>
            </w:pPr>
            <w:r>
              <w:rPr/>
              <w:t> </w:t>
            </w:r>
          </w:p>
        </w:tc>
        <w:tc>
          <w:tcPr>
            <w:tcW w:w="1129"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33" w:type="dxa"/>
            <w:tcBorders>
              <w:bottom w:val="single" w:sz="2" w:space="0" w:color="999999"/>
            </w:tcBorders>
            <w:shd w:fill="auto" w:val="clear"/>
            <w:tcMar>
              <w:bottom w:w="28" w:type="dxa"/>
            </w:tcMar>
            <w:vAlign w:val="bottom"/>
          </w:tcPr>
          <w:p>
            <w:pPr>
              <w:pStyle w:val="TableContents"/>
              <w:spacing w:before="0" w:after="283"/>
              <w:rPr/>
            </w:pPr>
            <w:r>
              <w:rPr/>
              <w:t> </w:t>
            </w:r>
          </w:p>
        </w:tc>
        <w:tc>
          <w:tcPr>
            <w:tcW w:w="2422"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93" w:type="dxa"/>
            <w:tcBorders>
              <w:bottom w:val="single" w:sz="2" w:space="0" w:color="999999"/>
            </w:tcBorders>
            <w:shd w:fill="auto" w:val="clear"/>
            <w:tcMar>
              <w:bottom w:w="28" w:type="dxa"/>
            </w:tcMar>
            <w:vAlign w:val="bottom"/>
          </w:tcPr>
          <w:p>
            <w:pPr>
              <w:pStyle w:val="TableContents"/>
              <w:spacing w:before="0" w:after="283"/>
              <w:rPr/>
            </w:pPr>
            <w:r>
              <w:rPr/>
              <w:t> </w:t>
            </w:r>
          </w:p>
        </w:tc>
        <w:tc>
          <w:tcPr>
            <w:tcW w:w="169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8" w:type="dxa"/>
            <w:tcBorders>
              <w:bottom w:val="single" w:sz="2" w:space="0" w:color="999999"/>
            </w:tcBorders>
            <w:shd w:fill="auto" w:val="clear"/>
            <w:tcMar>
              <w:bottom w:w="28" w:type="dxa"/>
            </w:tcMar>
            <w:vAlign w:val="bottom"/>
          </w:tcPr>
          <w:p>
            <w:pPr>
              <w:pStyle w:val="TableContents"/>
              <w:spacing w:before="0" w:after="283"/>
              <w:rPr/>
            </w:pPr>
            <w:r>
              <w:rPr/>
              <w:t> </w:t>
            </w:r>
          </w:p>
        </w:tc>
        <w:tc>
          <w:tcPr>
            <w:tcW w:w="260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-1,210,997</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3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20" w:type="dxa"/>
            <w:tcBorders>
              <w:bottom w:val="single" w:sz="2" w:space="0" w:color="999999"/>
            </w:tcBorders>
            <w:shd w:fill="auto" w:val="clear"/>
            <w:tcMar>
              <w:bottom w:w="28" w:type="dxa"/>
            </w:tcMar>
            <w:vAlign w:val="bottom"/>
          </w:tcPr>
          <w:p>
            <w:pPr>
              <w:pStyle w:val="TableContents"/>
              <w:spacing w:before="0" w:after="283"/>
              <w:rPr>
                <w:b/>
              </w:rPr>
            </w:pPr>
            <w:r>
              <w:rPr>
                <w:b/>
              </w:rPr>
              <w:t>Total Value</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436" w:type="dxa"/>
            <w:tcBorders>
              <w:bottom w:val="single" w:sz="2" w:space="0" w:color="999999"/>
            </w:tcBorders>
            <w:shd w:fill="auto" w:val="clear"/>
            <w:tcMar>
              <w:bottom w:w="28" w:type="dxa"/>
            </w:tcMar>
            <w:vAlign w:val="bottom"/>
          </w:tcPr>
          <w:p>
            <w:pPr>
              <w:pStyle w:val="TableContents"/>
              <w:spacing w:before="0" w:after="283"/>
              <w:rPr/>
            </w:pPr>
            <w:r>
              <w:rPr/>
              <w:t> </w:t>
            </w:r>
          </w:p>
        </w:tc>
        <w:tc>
          <w:tcPr>
            <w:tcW w:w="1129"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33" w:type="dxa"/>
            <w:tcBorders>
              <w:bottom w:val="single" w:sz="2" w:space="0" w:color="999999"/>
            </w:tcBorders>
            <w:shd w:fill="auto" w:val="clear"/>
            <w:tcMar>
              <w:bottom w:w="28" w:type="dxa"/>
            </w:tcMar>
            <w:vAlign w:val="bottom"/>
          </w:tcPr>
          <w:p>
            <w:pPr>
              <w:pStyle w:val="TableContents"/>
              <w:spacing w:before="0" w:after="283"/>
              <w:rPr/>
            </w:pPr>
            <w:r>
              <w:rPr/>
              <w:t> </w:t>
            </w:r>
          </w:p>
        </w:tc>
        <w:tc>
          <w:tcPr>
            <w:tcW w:w="2422"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4,592,596</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93" w:type="dxa"/>
            <w:tcBorders>
              <w:bottom w:val="single" w:sz="2" w:space="0" w:color="999999"/>
            </w:tcBorders>
            <w:shd w:fill="auto" w:val="clear"/>
            <w:tcMar>
              <w:bottom w:w="28" w:type="dxa"/>
            </w:tcMar>
            <w:vAlign w:val="bottom"/>
          </w:tcPr>
          <w:p>
            <w:pPr>
              <w:pStyle w:val="TableContents"/>
              <w:spacing w:before="0" w:after="283"/>
              <w:rPr/>
            </w:pPr>
            <w:r>
              <w:rPr/>
              <w:t> </w:t>
            </w:r>
          </w:p>
        </w:tc>
        <w:tc>
          <w:tcPr>
            <w:tcW w:w="1697"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2,925,294</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8" w:type="dxa"/>
            <w:tcBorders>
              <w:bottom w:val="single" w:sz="2" w:space="0" w:color="999999"/>
            </w:tcBorders>
            <w:shd w:fill="auto" w:val="clear"/>
            <w:tcMar>
              <w:bottom w:w="28" w:type="dxa"/>
            </w:tcMar>
            <w:vAlign w:val="bottom"/>
          </w:tcPr>
          <w:p>
            <w:pPr>
              <w:pStyle w:val="TableContents"/>
              <w:spacing w:before="0" w:after="283"/>
              <w:rPr/>
            </w:pPr>
            <w:r>
              <w:rPr/>
              <w:t> </w:t>
            </w:r>
          </w:p>
        </w:tc>
        <w:tc>
          <w:tcPr>
            <w:tcW w:w="2607"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10,676,258</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35" w:type="dxa"/>
            <w:tcBorders/>
            <w:shd w:fill="auto" w:val="clear"/>
          </w:tcPr>
          <w:p>
            <w:pPr>
              <w:pStyle w:val="TableContents"/>
              <w:spacing w:before="0" w:after="0"/>
              <w:rPr>
                <w:rFonts w:ascii="arial" w:hAnsi="arial"/>
                <w:sz w:val="18"/>
              </w:rPr>
            </w:pPr>
            <w:r>
              <w:rPr>
                <w:rFonts w:ascii="arial" w:hAnsi="arial"/>
                <w:sz w:val="18"/>
              </w:rPr>
              <w:t>C. Mark Hussey</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Salary</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1,200,000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1,600,000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Bonus</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1,200,000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1,600,000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Pro rata bonus (1)</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520,000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800,000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800,000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Equity acceleration (2)</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1,431,940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3,535,512</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Benefits continuation</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24,447</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8,596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32,596</w:t>
            </w:r>
          </w:p>
        </w:tc>
        <w:tc>
          <w:tcPr>
            <w:tcW w:w="60" w:type="dxa"/>
            <w:tcBorders/>
            <w:shd w:fill="auto" w:val="clear"/>
            <w:vAlign w:val="bottom"/>
          </w:tcPr>
          <w:p>
            <w:pPr>
              <w:pStyle w:val="TableContents"/>
              <w:spacing w:before="0" w:after="283"/>
              <w:rPr/>
            </w:pPr>
            <w:r>
              <w:rPr/>
              <w:t> </w:t>
            </w:r>
          </w:p>
        </w:tc>
      </w:tr>
      <w:tr>
        <w:trPr/>
        <w:tc>
          <w:tcPr>
            <w:tcW w:w="63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20" w:type="dxa"/>
            <w:tcBorders>
              <w:bottom w:val="single" w:sz="2" w:space="0" w:color="999999"/>
            </w:tcBorders>
            <w:shd w:fill="auto" w:val="clear"/>
            <w:tcMar>
              <w:bottom w:w="28" w:type="dxa"/>
            </w:tcMar>
            <w:vAlign w:val="bottom"/>
          </w:tcPr>
          <w:p>
            <w:pPr>
              <w:pStyle w:val="TableContents"/>
              <w:spacing w:before="0" w:after="283"/>
              <w:rPr/>
            </w:pPr>
            <w:r>
              <w:rPr/>
              <w:t>Cutback (3)</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436" w:type="dxa"/>
            <w:tcBorders>
              <w:bottom w:val="single" w:sz="2" w:space="0" w:color="999999"/>
            </w:tcBorders>
            <w:shd w:fill="auto" w:val="clear"/>
            <w:tcMar>
              <w:bottom w:w="28" w:type="dxa"/>
            </w:tcMar>
            <w:vAlign w:val="bottom"/>
          </w:tcPr>
          <w:p>
            <w:pPr>
              <w:pStyle w:val="TableContents"/>
              <w:spacing w:before="0" w:after="283"/>
              <w:rPr/>
            </w:pPr>
            <w:r>
              <w:rPr/>
              <w:t> </w:t>
            </w:r>
          </w:p>
        </w:tc>
        <w:tc>
          <w:tcPr>
            <w:tcW w:w="1129"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33" w:type="dxa"/>
            <w:tcBorders>
              <w:bottom w:val="single" w:sz="2" w:space="0" w:color="999999"/>
            </w:tcBorders>
            <w:shd w:fill="auto" w:val="clear"/>
            <w:tcMar>
              <w:bottom w:w="28" w:type="dxa"/>
            </w:tcMar>
            <w:vAlign w:val="bottom"/>
          </w:tcPr>
          <w:p>
            <w:pPr>
              <w:pStyle w:val="TableContents"/>
              <w:spacing w:before="0" w:after="283"/>
              <w:rPr/>
            </w:pPr>
            <w:r>
              <w:rPr/>
              <w:t> </w:t>
            </w:r>
          </w:p>
        </w:tc>
        <w:tc>
          <w:tcPr>
            <w:tcW w:w="2422"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93" w:type="dxa"/>
            <w:tcBorders>
              <w:bottom w:val="single" w:sz="2" w:space="0" w:color="999999"/>
            </w:tcBorders>
            <w:shd w:fill="auto" w:val="clear"/>
            <w:tcMar>
              <w:bottom w:w="28" w:type="dxa"/>
            </w:tcMar>
            <w:vAlign w:val="bottom"/>
          </w:tcPr>
          <w:p>
            <w:pPr>
              <w:pStyle w:val="TableContents"/>
              <w:spacing w:before="0" w:after="283"/>
              <w:rPr/>
            </w:pPr>
            <w:r>
              <w:rPr/>
              <w:t> </w:t>
            </w:r>
          </w:p>
        </w:tc>
        <w:tc>
          <w:tcPr>
            <w:tcW w:w="169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8" w:type="dxa"/>
            <w:tcBorders>
              <w:bottom w:val="single" w:sz="2" w:space="0" w:color="999999"/>
            </w:tcBorders>
            <w:shd w:fill="auto" w:val="clear"/>
            <w:tcMar>
              <w:bottom w:w="28" w:type="dxa"/>
            </w:tcMar>
            <w:vAlign w:val="bottom"/>
          </w:tcPr>
          <w:p>
            <w:pPr>
              <w:pStyle w:val="TableContents"/>
              <w:spacing w:before="0" w:after="283"/>
              <w:rPr/>
            </w:pPr>
            <w:r>
              <w:rPr/>
              <w:t> </w:t>
            </w:r>
          </w:p>
        </w:tc>
        <w:tc>
          <w:tcPr>
            <w:tcW w:w="260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-1,041,104</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3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20" w:type="dxa"/>
            <w:tcBorders>
              <w:bottom w:val="single" w:sz="2" w:space="0" w:color="999999"/>
            </w:tcBorders>
            <w:shd w:fill="auto" w:val="clear"/>
            <w:tcMar>
              <w:bottom w:w="28" w:type="dxa"/>
            </w:tcMar>
            <w:vAlign w:val="bottom"/>
          </w:tcPr>
          <w:p>
            <w:pPr>
              <w:pStyle w:val="TableContents"/>
              <w:spacing w:before="0" w:after="283"/>
              <w:rPr>
                <w:b/>
              </w:rPr>
            </w:pPr>
            <w:r>
              <w:rPr>
                <w:b/>
              </w:rPr>
              <w:t>Total Value</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436" w:type="dxa"/>
            <w:tcBorders>
              <w:bottom w:val="single" w:sz="2" w:space="0" w:color="999999"/>
            </w:tcBorders>
            <w:shd w:fill="auto" w:val="clear"/>
            <w:tcMar>
              <w:bottom w:w="28" w:type="dxa"/>
            </w:tcMar>
            <w:vAlign w:val="bottom"/>
          </w:tcPr>
          <w:p>
            <w:pPr>
              <w:pStyle w:val="TableContents"/>
              <w:spacing w:before="0" w:after="283"/>
              <w:rPr/>
            </w:pPr>
            <w:r>
              <w:rPr/>
              <w:t> </w:t>
            </w:r>
          </w:p>
        </w:tc>
        <w:tc>
          <w:tcPr>
            <w:tcW w:w="1129"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33" w:type="dxa"/>
            <w:tcBorders>
              <w:bottom w:val="single" w:sz="2" w:space="0" w:color="999999"/>
            </w:tcBorders>
            <w:shd w:fill="auto" w:val="clear"/>
            <w:tcMar>
              <w:bottom w:w="28" w:type="dxa"/>
            </w:tcMar>
            <w:vAlign w:val="bottom"/>
          </w:tcPr>
          <w:p>
            <w:pPr>
              <w:pStyle w:val="TableContents"/>
              <w:spacing w:before="0" w:after="283"/>
              <w:rPr/>
            </w:pPr>
            <w:r>
              <w:rPr/>
              <w:t> </w:t>
            </w:r>
          </w:p>
        </w:tc>
        <w:tc>
          <w:tcPr>
            <w:tcW w:w="2422"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2,944,447</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93" w:type="dxa"/>
            <w:tcBorders>
              <w:bottom w:val="single" w:sz="2" w:space="0" w:color="999999"/>
            </w:tcBorders>
            <w:shd w:fill="auto" w:val="clear"/>
            <w:tcMar>
              <w:bottom w:w="28" w:type="dxa"/>
            </w:tcMar>
            <w:vAlign w:val="bottom"/>
          </w:tcPr>
          <w:p>
            <w:pPr>
              <w:pStyle w:val="TableContents"/>
              <w:spacing w:before="0" w:after="283"/>
              <w:rPr/>
            </w:pPr>
            <w:r>
              <w:rPr/>
              <w:t> </w:t>
            </w:r>
          </w:p>
        </w:tc>
        <w:tc>
          <w:tcPr>
            <w:tcW w:w="1697"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2,240,536</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8" w:type="dxa"/>
            <w:tcBorders>
              <w:bottom w:val="single" w:sz="2" w:space="0" w:color="999999"/>
            </w:tcBorders>
            <w:shd w:fill="auto" w:val="clear"/>
            <w:tcMar>
              <w:bottom w:w="28" w:type="dxa"/>
            </w:tcMar>
            <w:vAlign w:val="bottom"/>
          </w:tcPr>
          <w:p>
            <w:pPr>
              <w:pStyle w:val="TableContents"/>
              <w:spacing w:before="0" w:after="283"/>
              <w:rPr/>
            </w:pPr>
            <w:r>
              <w:rPr/>
              <w:t> </w:t>
            </w:r>
          </w:p>
        </w:tc>
        <w:tc>
          <w:tcPr>
            <w:tcW w:w="2607"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6,527,004</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35" w:type="dxa"/>
            <w:tcBorders/>
            <w:shd w:fill="auto" w:val="clear"/>
          </w:tcPr>
          <w:p>
            <w:pPr>
              <w:pStyle w:val="TableContents"/>
              <w:spacing w:before="0" w:after="0"/>
              <w:rPr>
                <w:rFonts w:ascii="arial" w:hAnsi="arial"/>
                <w:sz w:val="18"/>
              </w:rPr>
            </w:pPr>
            <w:r>
              <w:rPr>
                <w:rFonts w:ascii="arial" w:hAnsi="arial"/>
                <w:sz w:val="18"/>
              </w:rPr>
              <w:t>John D. Kelly</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Salary</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525,000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787,500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Bonus</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472,500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708,750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Pro rata bonus (1)</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307,126</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472,500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472,500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Equity acceleration (2)</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1,236,270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2,377,955</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Benefits continuation</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15,023</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7,959</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22,535</w:t>
            </w:r>
          </w:p>
        </w:tc>
        <w:tc>
          <w:tcPr>
            <w:tcW w:w="60" w:type="dxa"/>
            <w:tcBorders/>
            <w:shd w:fill="auto" w:val="clear"/>
            <w:vAlign w:val="bottom"/>
          </w:tcPr>
          <w:p>
            <w:pPr>
              <w:pStyle w:val="TableContents"/>
              <w:spacing w:before="0" w:after="283"/>
              <w:rPr/>
            </w:pPr>
            <w:r>
              <w:rPr/>
              <w:t> </w:t>
            </w:r>
          </w:p>
        </w:tc>
      </w:tr>
      <w:tr>
        <w:trPr/>
        <w:tc>
          <w:tcPr>
            <w:tcW w:w="63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20" w:type="dxa"/>
            <w:tcBorders>
              <w:bottom w:val="single" w:sz="2" w:space="0" w:color="999999"/>
            </w:tcBorders>
            <w:shd w:fill="auto" w:val="clear"/>
            <w:tcMar>
              <w:bottom w:w="28" w:type="dxa"/>
            </w:tcMar>
            <w:vAlign w:val="bottom"/>
          </w:tcPr>
          <w:p>
            <w:pPr>
              <w:pStyle w:val="TableContents"/>
              <w:spacing w:before="0" w:after="283"/>
              <w:rPr/>
            </w:pPr>
            <w:r>
              <w:rPr/>
              <w:t>Cutback (3)</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436" w:type="dxa"/>
            <w:tcBorders>
              <w:bottom w:val="single" w:sz="2" w:space="0" w:color="999999"/>
            </w:tcBorders>
            <w:shd w:fill="auto" w:val="clear"/>
            <w:tcMar>
              <w:bottom w:w="28" w:type="dxa"/>
            </w:tcMar>
            <w:vAlign w:val="bottom"/>
          </w:tcPr>
          <w:p>
            <w:pPr>
              <w:pStyle w:val="TableContents"/>
              <w:spacing w:before="0" w:after="283"/>
              <w:rPr/>
            </w:pPr>
            <w:r>
              <w:rPr/>
              <w:t> </w:t>
            </w:r>
          </w:p>
        </w:tc>
        <w:tc>
          <w:tcPr>
            <w:tcW w:w="1129"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33" w:type="dxa"/>
            <w:tcBorders>
              <w:bottom w:val="single" w:sz="2" w:space="0" w:color="999999"/>
            </w:tcBorders>
            <w:shd w:fill="auto" w:val="clear"/>
            <w:tcMar>
              <w:bottom w:w="28" w:type="dxa"/>
            </w:tcMar>
            <w:vAlign w:val="bottom"/>
          </w:tcPr>
          <w:p>
            <w:pPr>
              <w:pStyle w:val="TableContents"/>
              <w:spacing w:before="0" w:after="283"/>
              <w:rPr/>
            </w:pPr>
            <w:r>
              <w:rPr/>
              <w:t> </w:t>
            </w:r>
          </w:p>
        </w:tc>
        <w:tc>
          <w:tcPr>
            <w:tcW w:w="2422"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93" w:type="dxa"/>
            <w:tcBorders>
              <w:bottom w:val="single" w:sz="2" w:space="0" w:color="999999"/>
            </w:tcBorders>
            <w:shd w:fill="auto" w:val="clear"/>
            <w:tcMar>
              <w:bottom w:w="28" w:type="dxa"/>
            </w:tcMar>
            <w:vAlign w:val="bottom"/>
          </w:tcPr>
          <w:p>
            <w:pPr>
              <w:pStyle w:val="TableContents"/>
              <w:spacing w:before="0" w:after="283"/>
              <w:rPr/>
            </w:pPr>
            <w:r>
              <w:rPr/>
              <w:t> </w:t>
            </w:r>
          </w:p>
        </w:tc>
        <w:tc>
          <w:tcPr>
            <w:tcW w:w="169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8" w:type="dxa"/>
            <w:tcBorders>
              <w:bottom w:val="single" w:sz="2" w:space="0" w:color="999999"/>
            </w:tcBorders>
            <w:shd w:fill="auto" w:val="clear"/>
            <w:tcMar>
              <w:bottom w:w="28" w:type="dxa"/>
            </w:tcMar>
            <w:vAlign w:val="bottom"/>
          </w:tcPr>
          <w:p>
            <w:pPr>
              <w:pStyle w:val="TableContents"/>
              <w:spacing w:before="0" w:after="283"/>
              <w:rPr/>
            </w:pPr>
            <w:r>
              <w:rPr/>
              <w:t> </w:t>
            </w:r>
          </w:p>
        </w:tc>
        <w:tc>
          <w:tcPr>
            <w:tcW w:w="260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-1,622,504</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3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20" w:type="dxa"/>
            <w:tcBorders>
              <w:bottom w:val="single" w:sz="2" w:space="0" w:color="999999"/>
            </w:tcBorders>
            <w:shd w:fill="auto" w:val="clear"/>
            <w:tcMar>
              <w:bottom w:w="28" w:type="dxa"/>
            </w:tcMar>
            <w:vAlign w:val="bottom"/>
          </w:tcPr>
          <w:p>
            <w:pPr>
              <w:pStyle w:val="TableContents"/>
              <w:spacing w:before="0" w:after="283"/>
              <w:rPr>
                <w:b/>
              </w:rPr>
            </w:pPr>
            <w:r>
              <w:rPr>
                <w:b/>
              </w:rPr>
              <w:t>Total Value</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436" w:type="dxa"/>
            <w:tcBorders>
              <w:bottom w:val="single" w:sz="2" w:space="0" w:color="999999"/>
            </w:tcBorders>
            <w:shd w:fill="auto" w:val="clear"/>
            <w:tcMar>
              <w:bottom w:w="28" w:type="dxa"/>
            </w:tcMar>
            <w:vAlign w:val="bottom"/>
          </w:tcPr>
          <w:p>
            <w:pPr>
              <w:pStyle w:val="TableContents"/>
              <w:spacing w:before="0" w:after="283"/>
              <w:rPr/>
            </w:pPr>
            <w:r>
              <w:rPr/>
              <w:t> </w:t>
            </w:r>
          </w:p>
        </w:tc>
        <w:tc>
          <w:tcPr>
            <w:tcW w:w="1129"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33" w:type="dxa"/>
            <w:tcBorders>
              <w:bottom w:val="single" w:sz="2" w:space="0" w:color="999999"/>
            </w:tcBorders>
            <w:shd w:fill="auto" w:val="clear"/>
            <w:tcMar>
              <w:bottom w:w="28" w:type="dxa"/>
            </w:tcMar>
            <w:vAlign w:val="bottom"/>
          </w:tcPr>
          <w:p>
            <w:pPr>
              <w:pStyle w:val="TableContents"/>
              <w:spacing w:before="0" w:after="283"/>
              <w:rPr/>
            </w:pPr>
            <w:r>
              <w:rPr/>
              <w:t> </w:t>
            </w:r>
          </w:p>
        </w:tc>
        <w:tc>
          <w:tcPr>
            <w:tcW w:w="2422"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1,319,649</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93" w:type="dxa"/>
            <w:tcBorders>
              <w:bottom w:val="single" w:sz="2" w:space="0" w:color="999999"/>
            </w:tcBorders>
            <w:shd w:fill="auto" w:val="clear"/>
            <w:tcMar>
              <w:bottom w:w="28" w:type="dxa"/>
            </w:tcMar>
            <w:vAlign w:val="bottom"/>
          </w:tcPr>
          <w:p>
            <w:pPr>
              <w:pStyle w:val="TableContents"/>
              <w:spacing w:before="0" w:after="283"/>
              <w:rPr/>
            </w:pPr>
            <w:r>
              <w:rPr/>
              <w:t> </w:t>
            </w:r>
          </w:p>
        </w:tc>
        <w:tc>
          <w:tcPr>
            <w:tcW w:w="1697"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1,716,729</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8" w:type="dxa"/>
            <w:tcBorders>
              <w:bottom w:val="single" w:sz="2" w:space="0" w:color="999999"/>
            </w:tcBorders>
            <w:shd w:fill="auto" w:val="clear"/>
            <w:tcMar>
              <w:bottom w:w="28" w:type="dxa"/>
            </w:tcMar>
            <w:vAlign w:val="bottom"/>
          </w:tcPr>
          <w:p>
            <w:pPr>
              <w:pStyle w:val="TableContents"/>
              <w:spacing w:before="0" w:after="283"/>
              <w:rPr/>
            </w:pPr>
            <w:r>
              <w:rPr/>
              <w:t> </w:t>
            </w:r>
          </w:p>
        </w:tc>
        <w:tc>
          <w:tcPr>
            <w:tcW w:w="2607" w:type="dxa"/>
            <w:tcBorders>
              <w:bottom w:val="single" w:sz="2" w:space="0" w:color="999999"/>
            </w:tcBorders>
            <w:shd w:fill="auto" w:val="clear"/>
            <w:tcMar>
              <w:bottom w:w="28" w:type="dxa"/>
            </w:tcMar>
            <w:vAlign w:val="bottom"/>
          </w:tcPr>
          <w:p>
            <w:pPr>
              <w:pStyle w:val="TableContents"/>
              <w:spacing w:before="0" w:after="283"/>
              <w:jc w:val="right"/>
              <w:rPr>
                <w:rFonts w:ascii="ARIAL" w:hAnsi="ARIAL"/>
                <w:b/>
              </w:rPr>
            </w:pPr>
            <w:r>
              <w:rPr>
                <w:rFonts w:ascii="ARIAL" w:hAnsi="ARIAL"/>
                <w:b/>
              </w:rPr>
              <w:t>2,746,736</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35" w:type="dxa"/>
            <w:tcBorders/>
            <w:shd w:fill="auto" w:val="clear"/>
          </w:tcPr>
          <w:p>
            <w:pPr>
              <w:pStyle w:val="TableContents"/>
              <w:spacing w:before="0" w:after="0"/>
              <w:rPr>
                <w:rFonts w:ascii="arial" w:hAnsi="arial"/>
                <w:sz w:val="18"/>
              </w:rPr>
            </w:pPr>
            <w:r>
              <w:rPr>
                <w:rFonts w:ascii="arial" w:hAnsi="arial"/>
                <w:sz w:val="18"/>
              </w:rPr>
              <w:t>Ernest W. Torain, Jr.</w:t>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Salary</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360,000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540,000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Bonus</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180,000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270,000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Pro rata bonus (1)</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117,000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180,000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180,000</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Equity acceleration (2)</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267,515</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575,234</w:t>
            </w:r>
          </w:p>
        </w:tc>
        <w:tc>
          <w:tcPr>
            <w:tcW w:w="60" w:type="dxa"/>
            <w:tcBorders/>
            <w:shd w:fill="auto" w:val="clear"/>
            <w:vAlign w:val="bottom"/>
          </w:tcPr>
          <w:p>
            <w:pPr>
              <w:pStyle w:val="TableContents"/>
              <w:spacing w:before="0" w:after="283"/>
              <w:rPr/>
            </w:pPr>
            <w:r>
              <w:rPr/>
              <w:t> </w:t>
            </w:r>
          </w:p>
        </w:tc>
      </w:tr>
      <w:tr>
        <w:trPr/>
        <w:tc>
          <w:tcPr>
            <w:tcW w:w="635" w:type="dxa"/>
            <w:tcBorders/>
            <w:shd w:fill="auto" w:val="clear"/>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pPr>
            <w:r>
              <w:rPr/>
              <w:t> </w:t>
            </w:r>
          </w:p>
        </w:tc>
        <w:tc>
          <w:tcPr>
            <w:tcW w:w="1220" w:type="dxa"/>
            <w:tcBorders/>
            <w:shd w:fill="auto" w:val="clear"/>
            <w:vAlign w:val="bottom"/>
          </w:tcPr>
          <w:p>
            <w:pPr>
              <w:pStyle w:val="TableContents"/>
              <w:spacing w:before="0" w:after="283"/>
              <w:rPr/>
            </w:pPr>
            <w:r>
              <w:rPr/>
              <w:t>Benefits continuation</w:t>
            </w:r>
          </w:p>
        </w:tc>
        <w:tc>
          <w:tcPr>
            <w:tcW w:w="60"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rPr/>
            </w:pPr>
            <w:r>
              <w:rPr/>
              <w:t> </w:t>
            </w:r>
          </w:p>
        </w:tc>
        <w:tc>
          <w:tcPr>
            <w:tcW w:w="1129" w:type="dxa"/>
            <w:tcBorders/>
            <w:shd w:fill="auto" w:val="clear"/>
            <w:vAlign w:val="bottom"/>
          </w:tcPr>
          <w:p>
            <w:pPr>
              <w:pStyle w:val="TableContents"/>
              <w:spacing w:before="0" w:after="283"/>
              <w:jc w:val="right"/>
              <w:rPr>
                <w:rFonts w:ascii="ARIAL" w:hAnsi="ARIAL"/>
              </w:rPr>
            </w:pPr>
            <w:r>
              <w:rPr>
                <w:rFonts w:ascii="ARIAL" w:hAnsi="ARIAL"/>
              </w:rPr>
              <w:t>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33" w:type="dxa"/>
            <w:tcBorders/>
            <w:shd w:fill="auto" w:val="clear"/>
            <w:vAlign w:val="bottom"/>
          </w:tcPr>
          <w:p>
            <w:pPr>
              <w:pStyle w:val="TableContents"/>
              <w:spacing w:before="0" w:after="283"/>
              <w:rPr/>
            </w:pPr>
            <w:r>
              <w:rPr/>
              <w:t> </w:t>
            </w:r>
          </w:p>
        </w:tc>
        <w:tc>
          <w:tcPr>
            <w:tcW w:w="2422" w:type="dxa"/>
            <w:tcBorders/>
            <w:shd w:fill="auto" w:val="clear"/>
            <w:vAlign w:val="bottom"/>
          </w:tcPr>
          <w:p>
            <w:pPr>
              <w:pStyle w:val="TableContents"/>
              <w:spacing w:before="0" w:after="283"/>
              <w:jc w:val="right"/>
              <w:rPr>
                <w:rFonts w:ascii="ARIAL" w:hAnsi="ARIAL"/>
              </w:rPr>
            </w:pPr>
            <w:r>
              <w:rPr>
                <w:rFonts w:ascii="ARIAL" w:hAnsi="ARIAL"/>
              </w:rPr>
              <w:t>12,302</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93" w:type="dxa"/>
            <w:tcBorders/>
            <w:shd w:fill="auto" w:val="clear"/>
            <w:vAlign w:val="bottom"/>
          </w:tcPr>
          <w:p>
            <w:pPr>
              <w:pStyle w:val="TableContents"/>
              <w:spacing w:before="0" w:after="283"/>
              <w:rPr/>
            </w:pPr>
            <w:r>
              <w:rPr/>
              <w:t> </w:t>
            </w:r>
          </w:p>
        </w:tc>
        <w:tc>
          <w:tcPr>
            <w:tcW w:w="1697" w:type="dxa"/>
            <w:tcBorders/>
            <w:shd w:fill="auto" w:val="clear"/>
            <w:vAlign w:val="bottom"/>
          </w:tcPr>
          <w:p>
            <w:pPr>
              <w:pStyle w:val="TableContents"/>
              <w:spacing w:before="0" w:after="283"/>
              <w:jc w:val="right"/>
              <w:rPr>
                <w:rFonts w:ascii="ARIAL" w:hAnsi="ARIAL"/>
              </w:rPr>
            </w:pPr>
            <w:r>
              <w:rPr>
                <w:rFonts w:ascii="ARIAL" w:hAnsi="ARIAL"/>
              </w:rPr>
              <w:t>6,480</w:t>
            </w:r>
          </w:p>
        </w:tc>
        <w:tc>
          <w:tcPr>
            <w:tcW w:w="60"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28" w:type="dxa"/>
            <w:tcBorders/>
            <w:shd w:fill="auto" w:val="clear"/>
            <w:vAlign w:val="bottom"/>
          </w:tcPr>
          <w:p>
            <w:pPr>
              <w:pStyle w:val="TableContents"/>
              <w:spacing w:before="0" w:after="283"/>
              <w:rPr/>
            </w:pPr>
            <w:r>
              <w:rPr/>
              <w:t> </w:t>
            </w:r>
          </w:p>
        </w:tc>
        <w:tc>
          <w:tcPr>
            <w:tcW w:w="2607" w:type="dxa"/>
            <w:tcBorders/>
            <w:shd w:fill="auto" w:val="clear"/>
            <w:vAlign w:val="bottom"/>
          </w:tcPr>
          <w:p>
            <w:pPr>
              <w:pStyle w:val="TableContents"/>
              <w:spacing w:before="0" w:after="283"/>
              <w:jc w:val="right"/>
              <w:rPr>
                <w:rFonts w:ascii="ARIAL" w:hAnsi="ARIAL"/>
              </w:rPr>
            </w:pPr>
            <w:r>
              <w:rPr>
                <w:rFonts w:ascii="ARIAL" w:hAnsi="ARIAL"/>
              </w:rPr>
              <w:t>24,604</w:t>
            </w:r>
          </w:p>
        </w:tc>
        <w:tc>
          <w:tcPr>
            <w:tcW w:w="60" w:type="dxa"/>
            <w:tcBorders/>
            <w:shd w:fill="auto" w:val="clear"/>
            <w:vAlign w:val="bottom"/>
          </w:tcPr>
          <w:p>
            <w:pPr>
              <w:pStyle w:val="TableContents"/>
              <w:spacing w:before="0" w:after="283"/>
              <w:rPr/>
            </w:pPr>
            <w:r>
              <w:rPr/>
              <w:t> </w:t>
            </w:r>
          </w:p>
        </w:tc>
      </w:tr>
      <w:tr>
        <w:trPr/>
        <w:tc>
          <w:tcPr>
            <w:tcW w:w="635" w:type="dxa"/>
            <w:tcBorders>
              <w:bottom w:val="single" w:sz="2" w:space="0" w:color="999999"/>
            </w:tcBorders>
            <w:shd w:fill="auto" w:val="clear"/>
            <w:tcMar>
              <w:bottom w:w="28" w:type="dxa"/>
            </w:tcMar>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20" w:type="dxa"/>
            <w:tcBorders>
              <w:bottom w:val="single" w:sz="2" w:space="0" w:color="999999"/>
            </w:tcBorders>
            <w:shd w:fill="auto" w:val="clear"/>
            <w:tcMar>
              <w:bottom w:w="28" w:type="dxa"/>
            </w:tcMar>
            <w:vAlign w:val="bottom"/>
          </w:tcPr>
          <w:p>
            <w:pPr>
              <w:pStyle w:val="TableContents"/>
              <w:spacing w:before="0" w:after="283"/>
              <w:rPr/>
            </w:pPr>
            <w:r>
              <w:rPr/>
              <w:t>Cutback (3)</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436" w:type="dxa"/>
            <w:tcBorders>
              <w:bottom w:val="single" w:sz="2" w:space="0" w:color="999999"/>
            </w:tcBorders>
            <w:shd w:fill="auto" w:val="clear"/>
            <w:tcMar>
              <w:bottom w:w="28" w:type="dxa"/>
            </w:tcMar>
            <w:vAlign w:val="bottom"/>
          </w:tcPr>
          <w:p>
            <w:pPr>
              <w:pStyle w:val="TableContents"/>
              <w:spacing w:before="0" w:after="283"/>
              <w:rPr/>
            </w:pPr>
            <w:r>
              <w:rPr/>
              <w:t> </w:t>
            </w:r>
          </w:p>
        </w:tc>
        <w:tc>
          <w:tcPr>
            <w:tcW w:w="1129"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33" w:type="dxa"/>
            <w:tcBorders>
              <w:bottom w:val="single" w:sz="2" w:space="0" w:color="999999"/>
            </w:tcBorders>
            <w:shd w:fill="auto" w:val="clear"/>
            <w:tcMar>
              <w:bottom w:w="28" w:type="dxa"/>
            </w:tcMar>
            <w:vAlign w:val="bottom"/>
          </w:tcPr>
          <w:p>
            <w:pPr>
              <w:pStyle w:val="TableContents"/>
              <w:spacing w:before="0" w:after="283"/>
              <w:rPr/>
            </w:pPr>
            <w:r>
              <w:rPr/>
              <w:t> </w:t>
            </w:r>
          </w:p>
        </w:tc>
        <w:tc>
          <w:tcPr>
            <w:tcW w:w="2422"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93" w:type="dxa"/>
            <w:tcBorders>
              <w:bottom w:val="single" w:sz="2" w:space="0" w:color="999999"/>
            </w:tcBorders>
            <w:shd w:fill="auto" w:val="clear"/>
            <w:tcMar>
              <w:bottom w:w="28" w:type="dxa"/>
            </w:tcMar>
            <w:vAlign w:val="bottom"/>
          </w:tcPr>
          <w:p>
            <w:pPr>
              <w:pStyle w:val="TableContents"/>
              <w:spacing w:before="0" w:after="283"/>
              <w:rPr/>
            </w:pPr>
            <w:r>
              <w:rPr/>
              <w:t> </w:t>
            </w:r>
          </w:p>
        </w:tc>
        <w:tc>
          <w:tcPr>
            <w:tcW w:w="169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28" w:type="dxa"/>
            <w:tcBorders>
              <w:bottom w:val="single" w:sz="2" w:space="0" w:color="999999"/>
            </w:tcBorders>
            <w:shd w:fill="auto" w:val="clear"/>
            <w:tcMar>
              <w:bottom w:w="28" w:type="dxa"/>
            </w:tcMar>
            <w:vAlign w:val="bottom"/>
          </w:tcPr>
          <w:p>
            <w:pPr>
              <w:pStyle w:val="TableContents"/>
              <w:spacing w:before="0" w:after="283"/>
              <w:rPr/>
            </w:pPr>
            <w:r>
              <w:rPr/>
              <w:t> </w:t>
            </w:r>
          </w:p>
        </w:tc>
        <w:tc>
          <w:tcPr>
            <w:tcW w:w="2607"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0</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r>
      <w:tr>
        <w:trPr/>
        <w:tc>
          <w:tcPr>
            <w:tcW w:w="635" w:type="dxa"/>
            <w:tcBorders>
              <w:bottom w:val="single" w:sz="2" w:space="0" w:color="00548B"/>
            </w:tcBorders>
            <w:shd w:fill="auto" w:val="clear"/>
            <w:tcMar>
              <w:bottom w:w="28" w:type="dxa"/>
            </w:tcMar>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1220" w:type="dxa"/>
            <w:tcBorders>
              <w:bottom w:val="single" w:sz="2" w:space="0" w:color="00548B"/>
            </w:tcBorders>
            <w:shd w:fill="auto" w:val="clear"/>
            <w:tcMar>
              <w:bottom w:w="28" w:type="dxa"/>
            </w:tcMar>
            <w:vAlign w:val="bottom"/>
          </w:tcPr>
          <w:p>
            <w:pPr>
              <w:pStyle w:val="TableContents"/>
              <w:spacing w:before="0" w:after="283"/>
              <w:rPr>
                <w:b/>
              </w:rPr>
            </w:pPr>
            <w:r>
              <w:rPr>
                <w:b/>
              </w:rPr>
              <w:t>Total Value</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436" w:type="dxa"/>
            <w:tcBorders>
              <w:bottom w:val="single" w:sz="2" w:space="0" w:color="00548B"/>
            </w:tcBorders>
            <w:shd w:fill="auto" w:val="clear"/>
            <w:tcMar>
              <w:bottom w:w="28" w:type="dxa"/>
            </w:tcMar>
            <w:vAlign w:val="bottom"/>
          </w:tcPr>
          <w:p>
            <w:pPr>
              <w:pStyle w:val="TableContents"/>
              <w:spacing w:before="0" w:after="283"/>
              <w:rPr/>
            </w:pPr>
            <w:r>
              <w:rPr/>
              <w:t> </w:t>
            </w:r>
          </w:p>
        </w:tc>
        <w:tc>
          <w:tcPr>
            <w:tcW w:w="1129" w:type="dxa"/>
            <w:tcBorders>
              <w:bottom w:val="single" w:sz="2" w:space="0" w:color="00548B"/>
            </w:tcBorders>
            <w:shd w:fill="auto" w:val="clear"/>
            <w:tcMar>
              <w:bottom w:w="28" w:type="dxa"/>
            </w:tcMar>
            <w:vAlign w:val="bottom"/>
          </w:tcPr>
          <w:p>
            <w:pPr>
              <w:pStyle w:val="TableContents"/>
              <w:spacing w:before="0" w:after="283"/>
              <w:jc w:val="right"/>
              <w:rPr>
                <w:rFonts w:ascii="ARIAL" w:hAnsi="ARIAL"/>
                <w:b/>
              </w:rPr>
            </w:pPr>
            <w:r>
              <w:rPr>
                <w:rFonts w:ascii="ARIAL" w:hAnsi="ARIAL"/>
                <w:b/>
              </w:rPr>
              <w:t>0</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133" w:type="dxa"/>
            <w:tcBorders>
              <w:bottom w:val="single" w:sz="2" w:space="0" w:color="00548B"/>
            </w:tcBorders>
            <w:shd w:fill="auto" w:val="clear"/>
            <w:tcMar>
              <w:bottom w:w="28" w:type="dxa"/>
            </w:tcMar>
            <w:vAlign w:val="bottom"/>
          </w:tcPr>
          <w:p>
            <w:pPr>
              <w:pStyle w:val="TableContents"/>
              <w:spacing w:before="0" w:after="283"/>
              <w:rPr/>
            </w:pPr>
            <w:r>
              <w:rPr/>
              <w:t> </w:t>
            </w:r>
          </w:p>
        </w:tc>
        <w:tc>
          <w:tcPr>
            <w:tcW w:w="2422" w:type="dxa"/>
            <w:tcBorders>
              <w:bottom w:val="single" w:sz="2" w:space="0" w:color="00548B"/>
            </w:tcBorders>
            <w:shd w:fill="auto" w:val="clear"/>
            <w:tcMar>
              <w:bottom w:w="28" w:type="dxa"/>
            </w:tcMar>
            <w:vAlign w:val="bottom"/>
          </w:tcPr>
          <w:p>
            <w:pPr>
              <w:pStyle w:val="TableContents"/>
              <w:spacing w:before="0" w:after="283"/>
              <w:jc w:val="right"/>
              <w:rPr>
                <w:rFonts w:ascii="ARIAL" w:hAnsi="ARIAL"/>
                <w:b/>
              </w:rPr>
            </w:pPr>
            <w:r>
              <w:rPr>
                <w:rFonts w:ascii="ARIAL" w:hAnsi="ARIAL"/>
                <w:b/>
              </w:rPr>
              <w:t>669,302</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93" w:type="dxa"/>
            <w:tcBorders>
              <w:bottom w:val="single" w:sz="2" w:space="0" w:color="00548B"/>
            </w:tcBorders>
            <w:shd w:fill="auto" w:val="clear"/>
            <w:tcMar>
              <w:bottom w:w="28" w:type="dxa"/>
            </w:tcMar>
            <w:vAlign w:val="bottom"/>
          </w:tcPr>
          <w:p>
            <w:pPr>
              <w:pStyle w:val="TableContents"/>
              <w:spacing w:before="0" w:after="283"/>
              <w:rPr/>
            </w:pPr>
            <w:r>
              <w:rPr/>
              <w:t> </w:t>
            </w:r>
          </w:p>
        </w:tc>
        <w:tc>
          <w:tcPr>
            <w:tcW w:w="1697" w:type="dxa"/>
            <w:tcBorders>
              <w:bottom w:val="single" w:sz="2" w:space="0" w:color="00548B"/>
            </w:tcBorders>
            <w:shd w:fill="auto" w:val="clear"/>
            <w:tcMar>
              <w:bottom w:w="28" w:type="dxa"/>
            </w:tcMar>
            <w:vAlign w:val="bottom"/>
          </w:tcPr>
          <w:p>
            <w:pPr>
              <w:pStyle w:val="TableContents"/>
              <w:spacing w:before="0" w:after="283"/>
              <w:jc w:val="right"/>
              <w:rPr>
                <w:rFonts w:ascii="ARIAL" w:hAnsi="ARIAL"/>
                <w:b/>
              </w:rPr>
            </w:pPr>
            <w:r>
              <w:rPr>
                <w:rFonts w:ascii="ARIAL" w:hAnsi="ARIAL"/>
                <w:b/>
              </w:rPr>
              <w:t>453,995</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128" w:type="dxa"/>
            <w:tcBorders>
              <w:bottom w:val="single" w:sz="2" w:space="0" w:color="00548B"/>
            </w:tcBorders>
            <w:shd w:fill="auto" w:val="clear"/>
            <w:tcMar>
              <w:bottom w:w="28" w:type="dxa"/>
            </w:tcMar>
            <w:vAlign w:val="bottom"/>
          </w:tcPr>
          <w:p>
            <w:pPr>
              <w:pStyle w:val="TableContents"/>
              <w:spacing w:before="0" w:after="283"/>
              <w:rPr/>
            </w:pPr>
            <w:r>
              <w:rPr/>
              <w:t> </w:t>
            </w:r>
          </w:p>
        </w:tc>
        <w:tc>
          <w:tcPr>
            <w:tcW w:w="2607" w:type="dxa"/>
            <w:tcBorders>
              <w:bottom w:val="single" w:sz="2" w:space="0" w:color="00548B"/>
            </w:tcBorders>
            <w:shd w:fill="auto" w:val="clear"/>
            <w:tcMar>
              <w:bottom w:w="28" w:type="dxa"/>
            </w:tcMar>
            <w:vAlign w:val="bottom"/>
          </w:tcPr>
          <w:p>
            <w:pPr>
              <w:pStyle w:val="TableContents"/>
              <w:spacing w:before="0" w:after="283"/>
              <w:jc w:val="right"/>
              <w:rPr>
                <w:rFonts w:ascii="ARIAL" w:hAnsi="ARIAL"/>
                <w:b/>
              </w:rPr>
            </w:pPr>
            <w:r>
              <w:rPr>
                <w:rFonts w:ascii="ARIAL" w:hAnsi="ARIAL"/>
                <w:b/>
              </w:rPr>
              <w:t>1,589,838</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8"/>
        <w:gridCol w:w="9697"/>
      </w:tblGrid>
      <w:tr>
        <w:trPr/>
        <w:tc>
          <w:tcPr>
            <w:tcW w:w="508" w:type="dxa"/>
            <w:tcBorders/>
            <w:shd w:fill="auto" w:val="clear"/>
          </w:tcPr>
          <w:p>
            <w:pPr>
              <w:pStyle w:val="TableContents"/>
              <w:spacing w:before="0" w:after="283"/>
              <w:jc w:val="left"/>
              <w:rPr/>
            </w:pPr>
            <w:r>
              <w:rPr/>
              <w:t>(1)</w:t>
            </w:r>
          </w:p>
        </w:tc>
        <w:tc>
          <w:tcPr>
            <w:tcW w:w="9697" w:type="dxa"/>
            <w:tcBorders/>
            <w:shd w:fill="auto" w:val="clear"/>
          </w:tcPr>
          <w:p>
            <w:pPr>
              <w:pStyle w:val="TableContents"/>
              <w:spacing w:before="0" w:after="0"/>
              <w:jc w:val="both"/>
              <w:rPr>
                <w:rFonts w:ascii="arial" w:hAnsi="arial"/>
                <w:sz w:val="18"/>
              </w:rPr>
            </w:pPr>
            <w:r>
              <w:rPr>
                <w:rFonts w:ascii="arial" w:hAnsi="arial"/>
                <w:sz w:val="18"/>
              </w:rPr>
              <w:t xml:space="preserve">Pro rata bonus for termination without Cause or resignation for Good Reason is based on actual performance from 2020. For retirement eligible individuals, executive would receive the full bonus earned payable at the originally scheduled payout date consistent with other executives and thus is not included in the table. (As of 12/31/19, Mr. Roth satisfied the age and service retirement criteria for these programs.) See CD&amp;A for disclosure regarding amount earned.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(2)</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The acceleration of equity varies by grant and type of termination as outlined in the preceding sections. The value shown is equal to the number of accelerated shares times the closing price on the last day of the fiscal year. These amounts do not include the value of stock that continues to vest per the original schedule post termination, including: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816"/>
        <w:gridCol w:w="408"/>
        <w:gridCol w:w="8981"/>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(a)</w:t>
            </w:r>
          </w:p>
        </w:tc>
        <w:tc>
          <w:tcPr>
            <w:tcW w:w="8981" w:type="dxa"/>
            <w:tcBorders/>
            <w:shd w:fill="auto" w:val="clear"/>
          </w:tcPr>
          <w:p>
            <w:pPr>
              <w:pStyle w:val="TableContents"/>
              <w:spacing w:before="0" w:after="0"/>
              <w:jc w:val="both"/>
              <w:rPr>
                <w:rFonts w:ascii="arial" w:hAnsi="arial"/>
                <w:sz w:val="18"/>
              </w:rPr>
            </w:pPr>
            <w:r>
              <w:rPr>
                <w:rFonts w:ascii="arial" w:hAnsi="arial"/>
                <w:sz w:val="18"/>
              </w:rPr>
              <w:t xml:space="preserve">A portion of the 2020 performance units would continue to vest for each of the named executive officers with the number of shares determined based on actual performance through December 31, 2022 and prorated for the number of days that the executive was employed during the performance period. </w:t>
            </w:r>
          </w:p>
        </w:tc>
      </w:tr>
    </w:tbl>
    <w:tbl>
      <w:tblPr>
        <w:tblW w:w="5000" w:type="pct"/>
        <w:jc w:val="left"/>
        <w:tblInd w:w="0" w:type="dxa"/>
        <w:tblCellMar>
          <w:top w:w="0" w:type="dxa"/>
          <w:left w:w="0" w:type="dxa"/>
          <w:bottom w:w="0" w:type="dxa"/>
          <w:right w:w="0" w:type="dxa"/>
        </w:tblCellMar>
      </w:tblPr>
      <w:tblGrid>
        <w:gridCol w:w="816"/>
        <w:gridCol w:w="408"/>
        <w:gridCol w:w="8981"/>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(b)</w:t>
            </w:r>
          </w:p>
        </w:tc>
        <w:tc>
          <w:tcPr>
            <w:tcW w:w="8981" w:type="dxa"/>
            <w:tcBorders/>
            <w:shd w:fill="auto" w:val="clear"/>
          </w:tcPr>
          <w:p>
            <w:pPr>
              <w:pStyle w:val="TableContents"/>
              <w:spacing w:before="0" w:after="0"/>
              <w:jc w:val="both"/>
              <w:rPr>
                <w:rFonts w:ascii="arial" w:hAnsi="arial"/>
                <w:sz w:val="18"/>
              </w:rPr>
            </w:pPr>
            <w:r>
              <w:rPr>
                <w:rFonts w:ascii="arial" w:hAnsi="arial"/>
                <w:sz w:val="18"/>
              </w:rPr>
              <w:t xml:space="preserve">A portion of the 2019 performance units would continue to vest for each of the named executive officers with the number of shares determined based on actual performance through December 31, 2021 and prorated for the number of days that the executive was employed during the performance period. </w:t>
            </w:r>
          </w:p>
        </w:tc>
      </w:tr>
    </w:tbl>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left"/>
        <w:tblInd w:w="0" w:type="dxa"/>
        <w:tblCellMar>
          <w:top w:w="0" w:type="dxa"/>
          <w:left w:w="0" w:type="dxa"/>
          <w:bottom w:w="0" w:type="dxa"/>
          <w:right w:w="0" w:type="dxa"/>
        </w:tblCellMar>
      </w:tblPr>
      <w:tblGrid>
        <w:gridCol w:w="816"/>
        <w:gridCol w:w="408"/>
        <w:gridCol w:w="8981"/>
      </w:tblGrid>
      <w:tr>
        <w:trPr/>
        <w:tc>
          <w:tcPr>
            <w:tcW w:w="816"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(c)</w:t>
            </w:r>
          </w:p>
        </w:tc>
        <w:tc>
          <w:tcPr>
            <w:tcW w:w="8981" w:type="dxa"/>
            <w:tcBorders/>
            <w:shd w:fill="auto" w:val="clear"/>
          </w:tcPr>
          <w:p>
            <w:pPr>
              <w:pStyle w:val="TableContents"/>
              <w:spacing w:before="0" w:after="0"/>
              <w:jc w:val="both"/>
              <w:rPr>
                <w:rFonts w:ascii="arial" w:hAnsi="arial"/>
                <w:sz w:val="18"/>
              </w:rPr>
            </w:pPr>
            <w:r>
              <w:rPr>
                <w:rFonts w:ascii="arial" w:hAnsi="arial"/>
                <w:sz w:val="18"/>
              </w:rPr>
              <w:t xml:space="preserve">Additionally, in the event an executive qualifies for an approved retirement, they would receive continued vesting of their stock per the schedule as outlined in the grant agreements. (As of 12/31/19, Mr. Roth satisfied the age and service retirement criteria for these programs and Ms. Ratekin satisfied the criteria as of 12/31/18.) </w:t>
            </w:r>
          </w:p>
        </w:tc>
      </w:tr>
    </w:tbl>
    <w:tbl>
      <w:tblPr>
        <w:tblW w:w="5000" w:type="pct"/>
        <w:jc w:val="left"/>
        <w:tblInd w:w="0" w:type="dxa"/>
        <w:tblCellMar>
          <w:top w:w="0" w:type="dxa"/>
          <w:left w:w="0" w:type="dxa"/>
          <w:bottom w:w="0" w:type="dxa"/>
          <w:right w:w="0" w:type="dxa"/>
        </w:tblCellMar>
      </w:tblPr>
      <w:tblGrid>
        <w:gridCol w:w="814"/>
        <w:gridCol w:w="408"/>
        <w:gridCol w:w="8983"/>
      </w:tblGrid>
      <w:tr>
        <w:trPr/>
        <w:tc>
          <w:tcPr>
            <w:tcW w:w="814"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pPr>
            <w:r>
              <w:rPr/>
              <w:t>(d)</w:t>
            </w:r>
          </w:p>
        </w:tc>
        <w:tc>
          <w:tcPr>
            <w:tcW w:w="8983" w:type="dxa"/>
            <w:tcBorders/>
            <w:shd w:fill="auto" w:val="clear"/>
          </w:tcPr>
          <w:p>
            <w:pPr>
              <w:pStyle w:val="TableContents"/>
              <w:spacing w:before="0" w:after="0"/>
              <w:jc w:val="both"/>
              <w:rPr>
                <w:rFonts w:ascii="arial" w:hAnsi="arial"/>
                <w:sz w:val="18"/>
              </w:rPr>
            </w:pPr>
            <w:r>
              <w:rPr>
                <w:rFonts w:ascii="arial" w:hAnsi="arial"/>
                <w:sz w:val="18"/>
              </w:rPr>
              <w:t xml:space="preserve">Time-based restricted stock awards are forfeited in the event of a Termination without Cause or Resignation for Good Reason. </w:t>
            </w:r>
          </w:p>
        </w:tc>
      </w:tr>
    </w:tbl>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(3)</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In the event the total COC severance exceeds the IRC 280G safe harbor amount, then the executives total severance is reduced to the maximum safe harbor threshold amount as to not trigger any excise tax. </w:t>
            </w:r>
          </w:p>
        </w:tc>
      </w:tr>
    </w:tbl>
    <w:tbl>
      <w:tblPr>
        <w:tblW w:w="5000" w:type="pct"/>
        <w:jc w:val="left"/>
        <w:tblInd w:w="0" w:type="dxa"/>
        <w:tblCellMar>
          <w:top w:w="0" w:type="dxa"/>
          <w:left w:w="0" w:type="dxa"/>
          <w:bottom w:w="0" w:type="dxa"/>
          <w:right w:w="0" w:type="dxa"/>
        </w:tblCellMar>
      </w:tblPr>
      <w:tblGrid>
        <w:gridCol w:w="509"/>
        <w:gridCol w:w="9696"/>
      </w:tblGrid>
      <w:tr>
        <w:trPr/>
        <w:tc>
          <w:tcPr>
            <w:tcW w:w="509" w:type="dxa"/>
            <w:tcBorders/>
            <w:shd w:fill="auto" w:val="clear"/>
          </w:tcPr>
          <w:p>
            <w:pPr>
              <w:pStyle w:val="TableContents"/>
              <w:spacing w:before="0" w:after="283"/>
              <w:jc w:val="left"/>
              <w:rPr/>
            </w:pPr>
            <w:r>
              <w:rPr/>
              <w:t>(4)</w:t>
            </w:r>
          </w:p>
        </w:tc>
        <w:tc>
          <w:tcPr>
            <w:tcW w:w="9696" w:type="dxa"/>
            <w:tcBorders/>
            <w:shd w:fill="auto" w:val="clear"/>
          </w:tcPr>
          <w:p>
            <w:pPr>
              <w:pStyle w:val="TableContents"/>
              <w:spacing w:before="0" w:after="0"/>
              <w:jc w:val="both"/>
              <w:rPr>
                <w:rFonts w:ascii="arial" w:hAnsi="arial"/>
                <w:sz w:val="18"/>
              </w:rPr>
            </w:pPr>
            <w:r>
              <w:rPr>
                <w:rFonts w:ascii="arial" w:hAnsi="arial"/>
                <w:sz w:val="18"/>
              </w:rPr>
              <w:t xml:space="preserve">Ms. Ratekins termination benefits are covered under the Transitional Retirement Agreement signed on September 12, 2019. The table above reflects benefits accelerated on the date of termination. These amounts do not include salary, bonus, and/or welfare benefits that would continue to be paid through the retirement date and do not include the value of stock that would continue to vest after termination. </w:t>
            </w:r>
          </w:p>
        </w:tc>
      </w:tr>
    </w:tbl>
    <w:p>
      <w:pPr>
        <w:pStyle w:val="TextBody"/>
        <w:spacing w:before="200" w:after="0"/>
        <w:jc w:val="both"/>
        <w:rPr>
          <w:rFonts w:ascii="arial" w:hAnsi="arial"/>
          <w:b/>
          <w:color w:val="00548B"/>
          <w:sz w:val="20"/>
        </w:rPr>
      </w:pPr>
      <w:bookmarkStart w:id="32" w:name="toc170561_30"/>
      <w:bookmarkEnd w:id="32"/>
      <w:r>
        <w:rPr>
          <w:rFonts w:ascii="arial" w:hAnsi="arial"/>
          <w:b/>
          <w:color w:val="00548B"/>
          <w:sz w:val="20"/>
        </w:rPr>
        <w:t>C</w:t>
      </w:r>
      <w:r>
        <w:rPr>
          <w:rFonts w:ascii="arial" w:hAnsi="arial"/>
          <w:b/>
          <w:color w:val="00548B"/>
          <w:sz w:val="14"/>
        </w:rPr>
        <w:t>OMPENSATION</w:t>
      </w:r>
      <w:r>
        <w:rPr>
          <w:rFonts w:ascii="arial" w:hAnsi="arial"/>
          <w:b/>
          <w:color w:val="00548B"/>
          <w:sz w:val="20"/>
        </w:rPr>
        <w:t xml:space="preserve"> C</w:t>
      </w:r>
      <w:r>
        <w:rPr>
          <w:rFonts w:ascii="arial" w:hAnsi="arial"/>
          <w:b/>
          <w:color w:val="00548B"/>
          <w:sz w:val="14"/>
        </w:rPr>
        <w:t>OMMITTEE</w:t>
      </w:r>
      <w:r>
        <w:rPr>
          <w:rFonts w:ascii="arial" w:hAnsi="arial"/>
          <w:b/>
          <w:color w:val="00548B"/>
          <w:sz w:val="20"/>
        </w:rPr>
        <w:t xml:space="preserve"> I</w:t>
      </w:r>
      <w:r>
        <w:rPr>
          <w:rFonts w:ascii="arial" w:hAnsi="arial"/>
          <w:b/>
          <w:color w:val="00548B"/>
          <w:sz w:val="14"/>
        </w:rPr>
        <w:t>NTERLOCKS</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I</w:t>
      </w:r>
      <w:r>
        <w:rPr>
          <w:rFonts w:ascii="arial" w:hAnsi="arial"/>
          <w:b/>
          <w:color w:val="00548B"/>
          <w:sz w:val="14"/>
        </w:rPr>
        <w:t>NSIDER</w:t>
      </w:r>
      <w:r>
        <w:rPr>
          <w:rFonts w:ascii="arial" w:hAnsi="arial"/>
          <w:b/>
          <w:color w:val="00548B"/>
          <w:sz w:val="20"/>
        </w:rPr>
        <w:t xml:space="preserve"> P</w:t>
      </w:r>
      <w:r>
        <w:rPr>
          <w:rFonts w:ascii="arial" w:hAnsi="arial"/>
          <w:b/>
          <w:color w:val="00548B"/>
          <w:sz w:val="14"/>
        </w:rPr>
        <w:t>ARTICIPATION</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During 2020, there were no Compensation Committee interlocks and no insider participation in Compensation Committee decisions that were required to be reported under the rules and regulations of the 1934 Act. </w:t>
      </w:r>
    </w:p>
    <w:p>
      <w:pPr>
        <w:pStyle w:val="TextBody"/>
        <w:spacing w:before="200" w:after="0"/>
        <w:jc w:val="both"/>
        <w:rPr>
          <w:rFonts w:ascii="arial" w:hAnsi="arial"/>
          <w:b/>
          <w:color w:val="00548B"/>
          <w:sz w:val="20"/>
        </w:rPr>
      </w:pPr>
      <w:bookmarkStart w:id="33" w:name="toc170561_31"/>
      <w:bookmarkEnd w:id="33"/>
      <w:r>
        <w:rPr>
          <w:rFonts w:ascii="arial" w:hAnsi="arial"/>
          <w:b/>
          <w:color w:val="00548B"/>
          <w:sz w:val="20"/>
        </w:rPr>
        <w:t>C</w:t>
      </w:r>
      <w:r>
        <w:rPr>
          <w:rFonts w:ascii="arial" w:hAnsi="arial"/>
          <w:b/>
          <w:color w:val="00548B"/>
          <w:sz w:val="14"/>
        </w:rPr>
        <w:t>ERTAIN</w:t>
      </w:r>
      <w:r>
        <w:rPr>
          <w:rFonts w:ascii="arial" w:hAnsi="arial"/>
          <w:b/>
          <w:color w:val="00548B"/>
          <w:sz w:val="20"/>
        </w:rPr>
        <w:t xml:space="preserve"> R</w:t>
      </w:r>
      <w:r>
        <w:rPr>
          <w:rFonts w:ascii="arial" w:hAnsi="arial"/>
          <w:b/>
          <w:color w:val="00548B"/>
          <w:sz w:val="14"/>
        </w:rPr>
        <w:t>ELATIONSHIPS</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R</w:t>
      </w:r>
      <w:r>
        <w:rPr>
          <w:rFonts w:ascii="arial" w:hAnsi="arial"/>
          <w:b/>
          <w:color w:val="00548B"/>
          <w:sz w:val="14"/>
        </w:rPr>
        <w:t>ELATED</w:t>
      </w:r>
      <w:r>
        <w:rPr>
          <w:rFonts w:ascii="arial" w:hAnsi="arial"/>
          <w:b/>
          <w:color w:val="00548B"/>
          <w:sz w:val="20"/>
        </w:rPr>
        <w:t xml:space="preserve"> T</w:t>
      </w:r>
      <w:r>
        <w:rPr>
          <w:rFonts w:ascii="arial" w:hAnsi="arial"/>
          <w:b/>
          <w:color w:val="00548B"/>
          <w:sz w:val="14"/>
        </w:rPr>
        <w:t>RANSACTIONS</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It is the responsibility of the Audit Committee to review and approve, ratify or disapprove proposed transactions or courses of dealings with respect to which executive officers or directors or members of their immediate families have an interest (including all transactions required to be disclosed pursuant to the SECs related person disclosure requirements). In addition, it is the policy of management and board members to discuss at a meeting of the board of directors, or the appropriate board committee, those transactions requiring disclosure pursuant to the SECs related person disclosure requirements between Huron and a board member or a principal stockholder and members of their immediate families. </w:t>
      </w:r>
    </w:p>
    <w:p>
      <w:pPr>
        <w:pStyle w:val="TextBody"/>
        <w:spacing w:before="200" w:after="0"/>
        <w:jc w:val="both"/>
        <w:rPr>
          <w:rFonts w:ascii="arial" w:hAnsi="arial"/>
          <w:sz w:val="18"/>
        </w:rPr>
      </w:pPr>
      <w:r>
        <w:rPr>
          <w:rFonts w:ascii="arial" w:hAnsi="arial"/>
          <w:sz w:val="18"/>
        </w:rPr>
        <w:t xml:space="preserve">In addition, Huron has a Code of Business Conduct and Ethics (the Code of Conduct), a copy of which is posted on our web site at www.huronconsultinggroup.com, that applies to directors and employees and their family members. The Code of Conduct, among other things, has a policy governing conflicts of interest generally and, in particular, prohibiting certain business arrangements with the Company and clients of the Company, entering into relationships that may be perceived as impairing the ability of the individual or Huron from performing his or its duties, as the case may be, in an impartial manner, and use of corporate property for improper personal gain. Any exceptions require disclosure and approval by the Chief Compliance Officer and, in the case of officers and directors, by the Audit Committee of the board of directors. The Code of Conduct also prohibits Huron from making any personal loans or guaranteeing any personal obligations of board members and executive officers.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49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0548B"/>
          <w:sz w:val="16"/>
        </w:rPr>
      </w:pPr>
      <w:bookmarkStart w:id="34" w:name="toc170561_32"/>
      <w:bookmarkEnd w:id="34"/>
      <w:r>
        <w:rPr>
          <w:rFonts w:ascii="arial" w:hAnsi="arial"/>
          <w:b/>
          <w:color w:val="00548B"/>
          <w:sz w:val="16"/>
        </w:rPr>
        <w:t xml:space="preserve">PROPOSAL 2 </w:t>
      </w:r>
    </w:p>
    <w:p>
      <w:pPr>
        <w:pStyle w:val="TextBody"/>
        <w:spacing w:before="0" w:after="0"/>
        <w:jc w:val="left"/>
        <w:rPr>
          <w:rFonts w:ascii="arial" w:hAnsi="arial"/>
          <w:b/>
          <w:color w:val="00548B"/>
          <w:sz w:val="24"/>
        </w:rPr>
      </w:pPr>
      <w:r>
        <w:rPr>
          <w:rFonts w:ascii="arial" w:hAnsi="arial"/>
          <w:b/>
          <w:color w:val="00548B"/>
          <w:sz w:val="24"/>
        </w:rPr>
        <w:t xml:space="preserve">TO APPROVE AN AMENDMENT TO THE COMPANYS AMENDED AND RESTATED 2012 OMNIBUS INCENTIVE PLAN </w:t>
      </w:r>
    </w:p>
    <w:p>
      <w:pPr>
        <w:pStyle w:val="TextBody"/>
        <w:spacing w:before="400" w:after="0"/>
        <w:jc w:val="both"/>
        <w:rPr>
          <w:rFonts w:ascii="arial" w:hAnsi="arial"/>
          <w:b/>
          <w:color w:val="00548B"/>
          <w:sz w:val="20"/>
        </w:rPr>
      </w:pPr>
      <w:r>
        <w:rPr>
          <w:rFonts w:ascii="arial" w:hAnsi="arial"/>
          <w:b/>
          <w:color w:val="00548B"/>
          <w:sz w:val="20"/>
        </w:rPr>
        <w:t xml:space="preserve">Background and Reasons for Amending the Plan </w:t>
      </w:r>
    </w:p>
    <w:p>
      <w:pPr>
        <w:pStyle w:val="TextBody"/>
        <w:spacing w:before="0" w:after="0"/>
        <w:jc w:val="both"/>
        <w:rPr>
          <w:rFonts w:ascii="arial" w:hAnsi="arial"/>
          <w:sz w:val="18"/>
        </w:rPr>
      </w:pPr>
      <w:r>
        <w:rPr>
          <w:rFonts w:ascii="arial" w:hAnsi="arial"/>
          <w:sz w:val="18"/>
        </w:rPr>
        <w:t xml:space="preserve">The board of directors believes that the continued growth and profitability of the Company depend on our ability to attract and retain highly qualified employees. As of March 8, 2021, we had issued 2,579,786 shares of common stock under the Plan that are no longer subject to outstanding awards, 1,079,602 shares of common stock that are subject to unexercised options or unvested restricted stock awards and up to 428,555 shares that may be issued pursuant to outstanding performance share awards, leaving 597,804 shares of common stock available for grant. In addition, we have 27,577 shares of common stock that are subject to unexercised options under the 2004 Omnibus Stock Plan. The weighted average exercise price and remaining contractual life of the 59,362 total stock options outstanding from all plans were $38.55 and 1.50 years, respectively. The total number of unvested restricted stock awards and performance share awards outstanding from all plans was 1,448,795. See the summary table below. </w:t>
      </w:r>
    </w:p>
    <w:p>
      <w:pPr>
        <w:pStyle w:val="TextBody"/>
        <w:spacing w:before="0" w:after="0"/>
        <w:jc w:val="left"/>
        <w:rPr/>
      </w:pPr>
      <w:r>
        <w:rPr/>
        <w:t> </w:t>
      </w:r>
    </w:p>
    <w:tbl>
      <w:tblPr>
        <w:tblW w:w="5000" w:type="pct"/>
        <w:jc w:val="center"/>
        <w:tblInd w:w="0" w:type="dxa"/>
        <w:tblCellMar>
          <w:top w:w="0" w:type="dxa"/>
          <w:left w:w="0" w:type="dxa"/>
          <w:bottom w:w="0" w:type="dxa"/>
          <w:right w:w="0" w:type="dxa"/>
        </w:tblCellMar>
      </w:tblPr>
      <w:tblGrid>
        <w:gridCol w:w="8721"/>
        <w:gridCol w:w="215"/>
        <w:gridCol w:w="1269"/>
      </w:tblGrid>
      <w:tr>
        <w:trPr/>
        <w:tc>
          <w:tcPr>
            <w:tcW w:w="8721" w:type="dxa"/>
            <w:tcBorders/>
            <w:shd w:fill="auto" w:val="clear"/>
            <w:vAlign w:val="center"/>
          </w:tcPr>
          <w:p>
            <w:pPr>
              <w:pStyle w:val="TableContents"/>
              <w:spacing w:before="0" w:after="283"/>
              <w:rPr>
                <w:sz w:val="4"/>
                <w:szCs w:val="4"/>
              </w:rPr>
            </w:pPr>
            <w:r>
              <w:rPr>
                <w:sz w:val="4"/>
                <w:szCs w:val="4"/>
              </w:rPr>
            </w:r>
          </w:p>
        </w:tc>
        <w:tc>
          <w:tcPr>
            <w:tcW w:w="215" w:type="dxa"/>
            <w:tcBorders/>
            <w:shd w:fill="auto" w:val="clear"/>
            <w:vAlign w:val="bottom"/>
          </w:tcPr>
          <w:p>
            <w:pPr>
              <w:pStyle w:val="TableContents"/>
              <w:spacing w:before="0" w:after="283"/>
              <w:rPr>
                <w:sz w:val="4"/>
                <w:szCs w:val="4"/>
              </w:rPr>
            </w:pPr>
            <w:r>
              <w:rPr>
                <w:sz w:val="4"/>
                <w:szCs w:val="4"/>
              </w:rPr>
            </w:r>
          </w:p>
        </w:tc>
        <w:tc>
          <w:tcPr>
            <w:tcW w:w="1269" w:type="dxa"/>
            <w:tcBorders/>
            <w:shd w:fill="auto" w:val="clear"/>
            <w:vAlign w:val="center"/>
          </w:tcPr>
          <w:p>
            <w:pPr>
              <w:pStyle w:val="TableContents"/>
              <w:spacing w:before="0" w:after="283"/>
              <w:rPr>
                <w:sz w:val="4"/>
                <w:szCs w:val="4"/>
              </w:rPr>
            </w:pPr>
            <w:r>
              <w:rPr>
                <w:sz w:val="4"/>
                <w:szCs w:val="4"/>
              </w:rPr>
            </w:r>
          </w:p>
        </w:tc>
      </w:tr>
      <w:tr>
        <w:trPr/>
        <w:tc>
          <w:tcPr>
            <w:tcW w:w="8721" w:type="dxa"/>
            <w:tcBorders>
              <w:top w:val="single" w:sz="2" w:space="0" w:color="00548B"/>
              <w:left w:val="single" w:sz="2" w:space="0" w:color="00548B"/>
            </w:tcBorders>
            <w:shd w:fill="00548B" w:val="clear"/>
            <w:tcMar>
              <w:top w:w="28" w:type="dxa"/>
              <w:left w:w="160" w:type="dxa"/>
            </w:tcMar>
            <w:vAlign w:val="bottom"/>
          </w:tcPr>
          <w:p>
            <w:pPr>
              <w:pStyle w:val="TableContents"/>
              <w:spacing w:before="0" w:after="283"/>
              <w:rPr>
                <w:b/>
                <w:color w:val="D8D8D8"/>
              </w:rPr>
            </w:pPr>
            <w:r>
              <w:rPr>
                <w:b/>
                <w:color w:val="D8D8D8"/>
              </w:rPr>
              <w:t>As of March 8, 2021:</w:t>
            </w:r>
          </w:p>
        </w:tc>
        <w:tc>
          <w:tcPr>
            <w:tcW w:w="215" w:type="dxa"/>
            <w:tcBorders>
              <w:top w:val="single" w:sz="2" w:space="0" w:color="00548B"/>
            </w:tcBorders>
            <w:shd w:fill="00548B" w:val="clear"/>
            <w:tcMar>
              <w:top w:w="28" w:type="dxa"/>
            </w:tcMar>
            <w:vAlign w:val="bottom"/>
          </w:tcPr>
          <w:p>
            <w:pPr>
              <w:pStyle w:val="TableContents"/>
              <w:spacing w:before="0" w:after="283"/>
              <w:rPr/>
            </w:pPr>
            <w:r>
              <w:rPr/>
              <w:t>  </w:t>
            </w:r>
          </w:p>
        </w:tc>
        <w:tc>
          <w:tcPr>
            <w:tcW w:w="1269" w:type="dxa"/>
            <w:tcBorders>
              <w:top w:val="single" w:sz="2" w:space="0" w:color="00548B"/>
              <w:right w:val="single" w:sz="2" w:space="0" w:color="00548B"/>
            </w:tcBorders>
            <w:shd w:fill="00548B" w:val="clear"/>
            <w:tcMar>
              <w:top w:w="28" w:type="dxa"/>
              <w:right w:w="40" w:type="dxa"/>
            </w:tcMar>
            <w:vAlign w:val="bottom"/>
          </w:tcPr>
          <w:p>
            <w:pPr>
              <w:pStyle w:val="TableContents"/>
              <w:spacing w:before="0" w:after="283"/>
              <w:rPr/>
            </w:pPr>
            <w:r>
              <w:rPr/>
              <w:t>  </w:t>
            </w:r>
          </w:p>
        </w:tc>
      </w:tr>
      <w:tr>
        <w:trPr/>
        <w:tc>
          <w:tcPr>
            <w:tcW w:w="8721" w:type="dxa"/>
            <w:tcBorders>
              <w:left w:val="single" w:sz="2" w:space="0" w:color="00548B"/>
              <w:bottom w:val="single" w:sz="2" w:space="0" w:color="999999"/>
            </w:tcBorders>
            <w:shd w:fill="auto" w:val="clear"/>
            <w:tcMar>
              <w:left w:w="160" w:type="dxa"/>
              <w:bottom w:w="28" w:type="dxa"/>
            </w:tcMar>
          </w:tcPr>
          <w:p>
            <w:pPr>
              <w:pStyle w:val="TableContents"/>
              <w:spacing w:before="0" w:after="0"/>
              <w:rPr>
                <w:rFonts w:ascii="arial" w:hAnsi="arial"/>
                <w:sz w:val="18"/>
              </w:rPr>
            </w:pPr>
            <w:r>
              <w:rPr>
                <w:rFonts w:ascii="arial" w:hAnsi="arial"/>
                <w:sz w:val="18"/>
              </w:rPr>
              <w:t>Stock options outstanding</w:t>
            </w:r>
          </w:p>
        </w:tc>
        <w:tc>
          <w:tcPr>
            <w:tcW w:w="21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1269" w:type="dxa"/>
            <w:tcBorders>
              <w:bottom w:val="single" w:sz="2" w:space="0" w:color="999999"/>
              <w:right w:val="single" w:sz="2" w:space="0" w:color="00548B"/>
            </w:tcBorders>
            <w:shd w:fill="auto" w:val="clear"/>
            <w:tcMar>
              <w:bottom w:w="28" w:type="dxa"/>
              <w:right w:w="28" w:type="dxa"/>
            </w:tcMar>
            <w:vAlign w:val="bottom"/>
          </w:tcPr>
          <w:p>
            <w:pPr>
              <w:pStyle w:val="TableContents"/>
              <w:spacing w:before="0" w:after="283"/>
              <w:rPr>
                <w:rFonts w:ascii="ARIAL" w:hAnsi="ARIAL"/>
              </w:rPr>
            </w:pPr>
            <w:r>
              <w:rPr>
                <w:rFonts w:ascii="ARIAL" w:hAnsi="ARIAL"/>
              </w:rPr>
              <w:t>59,362</w:t>
            </w:r>
          </w:p>
        </w:tc>
      </w:tr>
      <w:tr>
        <w:trPr/>
        <w:tc>
          <w:tcPr>
            <w:tcW w:w="8721" w:type="dxa"/>
            <w:tcBorders>
              <w:left w:val="single" w:sz="2" w:space="0" w:color="00548B"/>
              <w:bottom w:val="single" w:sz="2" w:space="0" w:color="999999"/>
            </w:tcBorders>
            <w:shd w:fill="auto" w:val="clear"/>
            <w:tcMar>
              <w:left w:w="160" w:type="dxa"/>
              <w:bottom w:w="28" w:type="dxa"/>
            </w:tcMar>
          </w:tcPr>
          <w:p>
            <w:pPr>
              <w:pStyle w:val="TableContents"/>
              <w:spacing w:before="0" w:after="0"/>
              <w:rPr>
                <w:rFonts w:ascii="arial" w:hAnsi="arial"/>
                <w:sz w:val="18"/>
              </w:rPr>
            </w:pPr>
            <w:r>
              <w:rPr>
                <w:rFonts w:ascii="arial" w:hAnsi="arial"/>
                <w:sz w:val="18"/>
              </w:rPr>
              <w:t>Weighted average exercise price of stock options outstanding</w:t>
            </w:r>
          </w:p>
        </w:tc>
        <w:tc>
          <w:tcPr>
            <w:tcW w:w="21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1269" w:type="dxa"/>
            <w:tcBorders>
              <w:bottom w:val="single" w:sz="2" w:space="0" w:color="999999"/>
              <w:right w:val="single" w:sz="2" w:space="0" w:color="00548B"/>
            </w:tcBorders>
            <w:shd w:fill="auto" w:val="clear"/>
            <w:tcMar>
              <w:bottom w:w="28" w:type="dxa"/>
              <w:right w:w="28" w:type="dxa"/>
            </w:tcMar>
            <w:vAlign w:val="bottom"/>
          </w:tcPr>
          <w:p>
            <w:pPr>
              <w:pStyle w:val="TableContents"/>
              <w:spacing w:before="0" w:after="283"/>
              <w:rPr>
                <w:rFonts w:ascii="ARIAL" w:hAnsi="ARIAL"/>
              </w:rPr>
            </w:pPr>
            <w:r>
              <w:rPr>
                <w:rFonts w:ascii="ARIAL" w:hAnsi="ARIAL"/>
              </w:rPr>
              <w:t>$38.55</w:t>
            </w:r>
          </w:p>
        </w:tc>
      </w:tr>
      <w:tr>
        <w:trPr/>
        <w:tc>
          <w:tcPr>
            <w:tcW w:w="8721" w:type="dxa"/>
            <w:tcBorders>
              <w:left w:val="single" w:sz="2" w:space="0" w:color="00548B"/>
              <w:bottom w:val="single" w:sz="2" w:space="0" w:color="999999"/>
            </w:tcBorders>
            <w:shd w:fill="auto" w:val="clear"/>
            <w:tcMar>
              <w:left w:w="160" w:type="dxa"/>
              <w:bottom w:w="28" w:type="dxa"/>
            </w:tcMar>
          </w:tcPr>
          <w:p>
            <w:pPr>
              <w:pStyle w:val="TableContents"/>
              <w:spacing w:before="0" w:after="0"/>
              <w:rPr>
                <w:rFonts w:ascii="arial" w:hAnsi="arial"/>
                <w:sz w:val="18"/>
              </w:rPr>
            </w:pPr>
            <w:r>
              <w:rPr>
                <w:rFonts w:ascii="arial" w:hAnsi="arial"/>
                <w:sz w:val="18"/>
              </w:rPr>
              <w:t>Weighted average remaining contractual life of stock options outstanding</w:t>
            </w:r>
          </w:p>
        </w:tc>
        <w:tc>
          <w:tcPr>
            <w:tcW w:w="21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1269" w:type="dxa"/>
            <w:tcBorders>
              <w:bottom w:val="single" w:sz="2" w:space="0" w:color="999999"/>
              <w:right w:val="single" w:sz="2" w:space="0" w:color="00548B"/>
            </w:tcBorders>
            <w:shd w:fill="auto" w:val="clear"/>
            <w:tcMar>
              <w:bottom w:w="28" w:type="dxa"/>
              <w:right w:w="28" w:type="dxa"/>
            </w:tcMar>
            <w:vAlign w:val="bottom"/>
          </w:tcPr>
          <w:p>
            <w:pPr>
              <w:pStyle w:val="TableContents"/>
              <w:spacing w:before="0" w:after="283"/>
              <w:rPr>
                <w:rFonts w:ascii="ARIAL" w:hAnsi="ARIAL"/>
              </w:rPr>
            </w:pPr>
            <w:r>
              <w:rPr>
                <w:rFonts w:ascii="ARIAL" w:hAnsi="ARIAL"/>
              </w:rPr>
              <w:t>1.5 years</w:t>
            </w:r>
          </w:p>
        </w:tc>
      </w:tr>
      <w:tr>
        <w:trPr/>
        <w:tc>
          <w:tcPr>
            <w:tcW w:w="8721" w:type="dxa"/>
            <w:tcBorders>
              <w:left w:val="single" w:sz="2" w:space="0" w:color="00548B"/>
              <w:bottom w:val="single" w:sz="2" w:space="0" w:color="999999"/>
            </w:tcBorders>
            <w:shd w:fill="auto" w:val="clear"/>
            <w:tcMar>
              <w:left w:w="160" w:type="dxa"/>
              <w:bottom w:w="28" w:type="dxa"/>
            </w:tcMar>
          </w:tcPr>
          <w:p>
            <w:pPr>
              <w:pStyle w:val="TableContents"/>
              <w:spacing w:before="0" w:after="0"/>
              <w:rPr>
                <w:rFonts w:ascii="arial" w:hAnsi="arial"/>
                <w:sz w:val="18"/>
              </w:rPr>
            </w:pPr>
            <w:r>
              <w:rPr>
                <w:rFonts w:ascii="arial" w:hAnsi="arial"/>
                <w:sz w:val="18"/>
              </w:rPr>
              <w:t>Shares subject to outstanding restricted stock and other full value awards (unvested and unearned)</w:t>
            </w:r>
          </w:p>
        </w:tc>
        <w:tc>
          <w:tcPr>
            <w:tcW w:w="215" w:type="dxa"/>
            <w:tcBorders>
              <w:left w:val="single" w:sz="2" w:space="0" w:color="999999"/>
              <w:bottom w:val="single" w:sz="2" w:space="0" w:color="999999"/>
            </w:tcBorders>
            <w:shd w:fill="auto" w:val="clear"/>
            <w:tcMar>
              <w:left w:w="28" w:type="dxa"/>
              <w:bottom w:w="28" w:type="dxa"/>
            </w:tcMar>
            <w:vAlign w:val="bottom"/>
          </w:tcPr>
          <w:p>
            <w:pPr>
              <w:pStyle w:val="TableContents"/>
              <w:spacing w:before="0" w:after="283"/>
              <w:rPr/>
            </w:pPr>
            <w:r>
              <w:rPr/>
              <w:t>  </w:t>
            </w:r>
          </w:p>
        </w:tc>
        <w:tc>
          <w:tcPr>
            <w:tcW w:w="1269" w:type="dxa"/>
            <w:tcBorders>
              <w:bottom w:val="single" w:sz="2" w:space="0" w:color="999999"/>
              <w:right w:val="single" w:sz="2" w:space="0" w:color="00548B"/>
            </w:tcBorders>
            <w:shd w:fill="auto" w:val="clear"/>
            <w:tcMar>
              <w:bottom w:w="28" w:type="dxa"/>
              <w:right w:w="28" w:type="dxa"/>
            </w:tcMar>
            <w:vAlign w:val="bottom"/>
          </w:tcPr>
          <w:p>
            <w:pPr>
              <w:pStyle w:val="TableContents"/>
              <w:spacing w:before="0" w:after="283"/>
              <w:rPr>
                <w:rFonts w:ascii="ARIAL" w:hAnsi="ARIAL"/>
              </w:rPr>
            </w:pPr>
            <w:r>
              <w:rPr>
                <w:rFonts w:ascii="ARIAL" w:hAnsi="ARIAL"/>
              </w:rPr>
              <w:t>1,448,795</w:t>
            </w:r>
          </w:p>
        </w:tc>
      </w:tr>
      <w:tr>
        <w:trPr/>
        <w:tc>
          <w:tcPr>
            <w:tcW w:w="8721" w:type="dxa"/>
            <w:tcBorders>
              <w:left w:val="single" w:sz="2" w:space="0" w:color="00548B"/>
            </w:tcBorders>
            <w:shd w:fill="auto" w:val="clear"/>
            <w:tcMar>
              <w:left w:w="160" w:type="dxa"/>
            </w:tcMar>
          </w:tcPr>
          <w:p>
            <w:pPr>
              <w:pStyle w:val="TableContents"/>
              <w:spacing w:before="0" w:after="0"/>
              <w:rPr>
                <w:rFonts w:ascii="arial" w:hAnsi="arial"/>
                <w:sz w:val="18"/>
              </w:rPr>
            </w:pPr>
            <w:r>
              <w:rPr>
                <w:rFonts w:ascii="arial" w:hAnsi="arial"/>
                <w:sz w:val="18"/>
              </w:rPr>
              <w:t>Shares remaining for grant under the existing Amended and Restated 2012 Omnibus Incentive Plan</w:t>
            </w:r>
          </w:p>
        </w:tc>
        <w:tc>
          <w:tcPr>
            <w:tcW w:w="215" w:type="dxa"/>
            <w:tcBorders>
              <w:left w:val="single" w:sz="2" w:space="0" w:color="999999"/>
            </w:tcBorders>
            <w:shd w:fill="auto" w:val="clear"/>
            <w:tcMar>
              <w:left w:w="28" w:type="dxa"/>
            </w:tcMar>
            <w:vAlign w:val="bottom"/>
          </w:tcPr>
          <w:p>
            <w:pPr>
              <w:pStyle w:val="TableContents"/>
              <w:spacing w:before="0" w:after="283"/>
              <w:rPr/>
            </w:pPr>
            <w:r>
              <w:rPr/>
              <w:t>  </w:t>
            </w:r>
          </w:p>
        </w:tc>
        <w:tc>
          <w:tcPr>
            <w:tcW w:w="1269" w:type="dxa"/>
            <w:tcBorders>
              <w:right w:val="single" w:sz="2" w:space="0" w:color="00548B"/>
            </w:tcBorders>
            <w:shd w:fill="auto" w:val="clear"/>
            <w:tcMar>
              <w:right w:w="28" w:type="dxa"/>
            </w:tcMar>
            <w:vAlign w:val="bottom"/>
          </w:tcPr>
          <w:p>
            <w:pPr>
              <w:pStyle w:val="TableContents"/>
              <w:spacing w:before="0" w:after="283"/>
              <w:rPr>
                <w:rFonts w:ascii="ARIAL" w:hAnsi="ARIAL"/>
              </w:rPr>
            </w:pPr>
            <w:r>
              <w:rPr>
                <w:rFonts w:ascii="ARIAL" w:hAnsi="ARIAL"/>
              </w:rPr>
              <w:t>597,804</w:t>
            </w:r>
          </w:p>
        </w:tc>
      </w:tr>
      <w:tr>
        <w:trPr/>
        <w:tc>
          <w:tcPr>
            <w:tcW w:w="8721" w:type="dxa"/>
            <w:tcBorders>
              <w:top w:val="single" w:sz="2" w:space="0" w:color="999999"/>
              <w:left w:val="single" w:sz="2" w:space="0" w:color="00548B"/>
              <w:bottom w:val="single" w:sz="2" w:space="0" w:color="00548B"/>
            </w:tcBorders>
            <w:shd w:fill="auto" w:val="clear"/>
            <w:tcMar>
              <w:top w:w="28" w:type="dxa"/>
              <w:left w:w="160" w:type="dxa"/>
              <w:bottom w:w="28" w:type="dxa"/>
            </w:tcMar>
          </w:tcPr>
          <w:p>
            <w:pPr>
              <w:pStyle w:val="TableContents"/>
              <w:spacing w:before="0" w:after="0"/>
              <w:rPr>
                <w:rFonts w:ascii="arial" w:hAnsi="arial"/>
                <w:sz w:val="18"/>
              </w:rPr>
            </w:pPr>
            <w:r>
              <w:rPr>
                <w:rFonts w:ascii="arial" w:hAnsi="arial"/>
                <w:sz w:val="18"/>
              </w:rPr>
              <w:t>Common shares issued and outstanding</w:t>
            </w:r>
          </w:p>
        </w:tc>
        <w:tc>
          <w:tcPr>
            <w:tcW w:w="215" w:type="dxa"/>
            <w:tcBorders>
              <w:top w:val="single" w:sz="2" w:space="0" w:color="999999"/>
              <w:left w:val="single" w:sz="2" w:space="0" w:color="999999"/>
              <w:bottom w:val="single" w:sz="2" w:space="0" w:color="00548B"/>
            </w:tcBorders>
            <w:shd w:fill="auto" w:val="clear"/>
            <w:tcMar>
              <w:top w:w="28" w:type="dxa"/>
              <w:left w:w="28" w:type="dxa"/>
              <w:bottom w:w="28" w:type="dxa"/>
            </w:tcMar>
            <w:vAlign w:val="bottom"/>
          </w:tcPr>
          <w:p>
            <w:pPr>
              <w:pStyle w:val="TableContents"/>
              <w:spacing w:before="0" w:after="283"/>
              <w:rPr/>
            </w:pPr>
            <w:r>
              <w:rPr/>
              <w:t>  </w:t>
            </w:r>
          </w:p>
        </w:tc>
        <w:tc>
          <w:tcPr>
            <w:tcW w:w="1269" w:type="dxa"/>
            <w:tcBorders>
              <w:top w:val="single" w:sz="2" w:space="0" w:color="999999"/>
              <w:bottom w:val="single" w:sz="2" w:space="0" w:color="00548B"/>
              <w:right w:val="single" w:sz="2" w:space="0" w:color="00548B"/>
            </w:tcBorders>
            <w:shd w:fill="auto" w:val="clear"/>
            <w:tcMar>
              <w:top w:w="28" w:type="dxa"/>
              <w:bottom w:w="28" w:type="dxa"/>
              <w:right w:w="28" w:type="dxa"/>
            </w:tcMar>
            <w:vAlign w:val="bottom"/>
          </w:tcPr>
          <w:p>
            <w:pPr>
              <w:pStyle w:val="TableContents"/>
              <w:spacing w:before="0" w:after="283"/>
              <w:rPr>
                <w:rFonts w:ascii="ARIAL" w:hAnsi="ARIAL"/>
              </w:rPr>
            </w:pPr>
            <w:r>
              <w:rPr>
                <w:rFonts w:ascii="ARIAL" w:hAnsi="ARIAL"/>
              </w:rPr>
              <w:t>23,039,313</w:t>
            </w:r>
          </w:p>
        </w:tc>
      </w:tr>
    </w:tbl>
    <w:p>
      <w:pPr>
        <w:pStyle w:val="TextBody"/>
        <w:spacing w:before="200" w:after="0"/>
        <w:jc w:val="both"/>
        <w:rPr>
          <w:rFonts w:ascii="arial" w:hAnsi="arial"/>
          <w:sz w:val="18"/>
        </w:rPr>
      </w:pPr>
      <w:r>
        <w:rPr>
          <w:rFonts w:ascii="arial" w:hAnsi="arial"/>
          <w:sz w:val="18"/>
        </w:rPr>
        <w:t xml:space="preserve">In order to increase the number of shares of common stock available as equity compensation to our employees, non-employee directors, and independent contractors and those of our subsidiaries, our board of directors has approved an amendment to the Plan to increase the number of shares available for grant thereunder by 634,000 shares of common stock, subject to stockholder approval. We believe the additional shares authorized under the Plan will enable us to offer competitive compensation packages that reward performance while also creating a compelling reason to remain at Huron and deliver results that benefit all constituents. We annually grant a sizable portion of equity to our managing directors. An average of 78% of total equity granted in the last three years was awarded to our managing directors; by contrast, approximately 19% of total equity granted in the last three years was awarded to our NEOs with the remaining 3% awarded to our directors and other employees. As a professional services firm, we recognize that our managing directors are key to growing our business, generating revenue, enhancing our market reputation, and developing our people. As such, they are critical to the overall success of Huron. We use stock as both a retention tool and an incentive to encourage behaviors that will benefit our shareholders and the Company. Approximately 40% of the annual bonus compensation of our Practice Leaders and client-facing managing directors consists of restricted stock that vests over four years and is awarded based on prior year performance. We believe the amount of equity provided below the NEO level aligns the interests of our individual practices with the Company as a whole and significantly differentiates Hurons compensation program from the programs of our competitors. Our ability to offer equity as a long-term component of compensation also helps us recruit talent that is critical for Hurons continued growth. We believe that our ability to offer long-term equity incentives encourages a balanced focus on short-term goals, long-term goals and performance that cannot be as effectively achieved with cash awards alone. </w:t>
      </w:r>
    </w:p>
    <w:p>
      <w:pPr>
        <w:pStyle w:val="TextBody"/>
        <w:spacing w:before="200" w:after="0"/>
        <w:jc w:val="both"/>
        <w:rPr>
          <w:rFonts w:ascii="arial" w:hAnsi="arial"/>
          <w:b/>
          <w:color w:val="00548B"/>
          <w:sz w:val="18"/>
        </w:rPr>
      </w:pPr>
      <w:r>
        <w:rPr>
          <w:rFonts w:ascii="arial" w:hAnsi="arial"/>
          <w:b/>
          <w:color w:val="00548B"/>
          <w:sz w:val="18"/>
        </w:rPr>
        <w:t xml:space="preserve">Approval Required </w:t>
      </w:r>
    </w:p>
    <w:p>
      <w:pPr>
        <w:pStyle w:val="TextBody"/>
        <w:spacing w:before="0" w:after="0"/>
        <w:jc w:val="both"/>
        <w:rPr>
          <w:rFonts w:ascii="arial" w:hAnsi="arial"/>
          <w:sz w:val="18"/>
        </w:rPr>
      </w:pPr>
      <w:r>
        <w:rPr>
          <w:rFonts w:ascii="arial" w:hAnsi="arial"/>
          <w:sz w:val="18"/>
        </w:rPr>
        <w:t xml:space="preserve">The approval of the amendment to the Plan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the proposal. Broker non-votes will not be considered shares entitled to vote with respect to approval of the proposal and will not be counted as votes for or against the proposal and will therefore have no effect on the outcome of the proposal. Executed proxies will be voted FOR the approval of the proposal, unless specified otherwise.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50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THE BOARD OF DIRECTORS RECOMMENDS THAT STOCKHOLDERS VOTE </w:t>
      </w:r>
      <w:r>
        <w:rPr>
          <w:rFonts w:ascii="arial" w:hAnsi="arial"/>
          <w:b/>
          <w:sz w:val="18"/>
        </w:rPr>
        <w:t xml:space="preserve">FOR </w:t>
      </w:r>
      <w:r>
        <w:rPr>
          <w:rFonts w:ascii="arial" w:hAnsi="arial"/>
          <w:sz w:val="18"/>
        </w:rPr>
        <w:t xml:space="preserve">APPROVAL OF THE AMENDMENT TO THE COMPANYS AMENDED AND RESTATED 2012 OMNIBUS INCENTIVE PLAN. </w:t>
      </w:r>
    </w:p>
    <w:p>
      <w:pPr>
        <w:pStyle w:val="TextBody"/>
        <w:spacing w:before="200" w:after="0"/>
        <w:jc w:val="both"/>
        <w:rPr>
          <w:rFonts w:ascii="arial" w:hAnsi="arial"/>
          <w:b/>
          <w:color w:val="00548B"/>
          <w:sz w:val="18"/>
        </w:rPr>
      </w:pPr>
      <w:r>
        <w:rPr>
          <w:rFonts w:ascii="arial" w:hAnsi="arial"/>
          <w:b/>
          <w:color w:val="00548B"/>
          <w:sz w:val="18"/>
        </w:rPr>
        <w:t xml:space="preserve">Description of the Plan </w:t>
      </w:r>
    </w:p>
    <w:p>
      <w:pPr>
        <w:pStyle w:val="TextBody"/>
        <w:spacing w:before="0" w:after="0"/>
        <w:jc w:val="both"/>
        <w:rPr>
          <w:rFonts w:ascii="arial" w:hAnsi="arial"/>
          <w:sz w:val="18"/>
        </w:rPr>
      </w:pPr>
      <w:r>
        <w:rPr>
          <w:rFonts w:ascii="arial" w:hAnsi="arial"/>
          <w:sz w:val="18"/>
        </w:rPr>
        <w:t xml:space="preserve">The summary of the material features of the Plan set forth below is qualified in its entirety by the full text of the Plan, as amended to date, included as Exhibits 10.26 and 10.32 to the Companys Form 10-K filed with the SEC on February 23, 2021. A copy of the amendment to the Plan is attached as Appendix A to this Proxy Statement. </w:t>
      </w:r>
    </w:p>
    <w:p>
      <w:pPr>
        <w:pStyle w:val="TextBody"/>
        <w:spacing w:before="200" w:after="0"/>
        <w:jc w:val="both"/>
        <w:rPr>
          <w:rFonts w:ascii="arial" w:hAnsi="arial"/>
          <w:sz w:val="18"/>
        </w:rPr>
      </w:pPr>
      <w:r>
        <w:rPr>
          <w:rFonts w:ascii="arial" w:hAnsi="arial"/>
          <w:sz w:val="18"/>
        </w:rPr>
        <w:t xml:space="preserve">There are several types of awards that may be granted under the Plan: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stock options (including both incentive stock options (ISOs), within the meaning of Section 422 of the Code and nonqualified options (NQSOs), which are options that do not qualify as ISOs);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stock appreciate rights (SARs);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full value awards, which means a grant of one or more shares of common stock or a right to receive one or more shares of common stock, subject to one or more of the conditions, restrictions and contingencies determined at the time of the award; and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cash incentive awards. </w:t>
            </w:r>
          </w:p>
        </w:tc>
      </w:tr>
    </w:tbl>
    <w:p>
      <w:pPr>
        <w:pStyle w:val="TextBody"/>
        <w:spacing w:before="200" w:after="0"/>
        <w:jc w:val="both"/>
        <w:rPr>
          <w:rFonts w:ascii="arial" w:hAnsi="arial"/>
          <w:sz w:val="18"/>
        </w:rPr>
      </w:pPr>
      <w:r>
        <w:rPr>
          <w:rFonts w:ascii="arial" w:hAnsi="arial"/>
          <w:sz w:val="18"/>
        </w:rPr>
        <w:t xml:space="preserve">Based on the 597,804 shares of common stock available for grant as of March 8, 2021, if this proposal is approved by stockholders, there would be approximately 1,231,804 shares available for issuance under the Plan as of the date of the Annual Meeting. </w:t>
      </w:r>
    </w:p>
    <w:p>
      <w:pPr>
        <w:pStyle w:val="TextBody"/>
        <w:spacing w:before="200" w:after="0"/>
        <w:jc w:val="both"/>
        <w:rPr>
          <w:rFonts w:ascii="arial" w:hAnsi="arial"/>
          <w:sz w:val="18"/>
        </w:rPr>
      </w:pPr>
      <w:r>
        <w:rPr>
          <w:rFonts w:ascii="arial" w:hAnsi="arial"/>
          <w:sz w:val="18"/>
        </w:rPr>
        <w:t xml:space="preserve">Shares subject to an award under the Plan that remain unissued upon the cancellation, surrender, exchange, forfeiture or termination of the award without having been exercised or settled will again become available for award under the Plan. In addition, to the extent an award under the Plan is paid or settled in cash, the number of shares of common stock with respect to which such payment or settlement is made shall again be available for grants of awards pursuant to the Plan. Any shares subject to an award under the Plan that are retained by us as payment of the exercise price of an option or to satisfy (A) all tax withholding obligations with respect to a stock option or stock appreciation right, or (B) tax withholding obligations in excess of the minimum required withholding amount with respect to a full value award, and any shares purchased by us using stock option exercise proceeds, will not again be made available for future grants under the Plan. Further, for stock-settled stock appreciation rights (to the extent they are utilized in the future), the shares subject to the award shall be counted against the plan reserve, regardless of the number of shares issued. </w:t>
      </w:r>
    </w:p>
    <w:p>
      <w:pPr>
        <w:pStyle w:val="TextBody"/>
        <w:spacing w:before="200" w:after="0"/>
        <w:jc w:val="both"/>
        <w:rPr>
          <w:rFonts w:ascii="arial" w:hAnsi="arial"/>
          <w:sz w:val="18"/>
        </w:rPr>
      </w:pPr>
      <w:r>
        <w:rPr>
          <w:rFonts w:ascii="arial" w:hAnsi="arial"/>
          <w:sz w:val="18"/>
        </w:rPr>
        <w:t xml:space="preserve">The Plan requires dividends and dividend equivalents (if any) on unvested awards to be held until the underlying award is vested. The Plan includes a minimum one-year vesting requirement to all equity awards with a limited carve out of 5% of the total pool to allow for exceptions, as necessary. The Plan provides a limit on awards to non-employee directors for any calendar year (along with cash retainer and meeting fees). </w:t>
      </w:r>
    </w:p>
    <w:p>
      <w:pPr>
        <w:pStyle w:val="TextBody"/>
        <w:spacing w:before="200" w:after="0"/>
        <w:jc w:val="both"/>
        <w:rPr>
          <w:rFonts w:ascii="arial" w:hAnsi="arial"/>
          <w:sz w:val="18"/>
        </w:rPr>
      </w:pPr>
      <w:r>
        <w:rPr>
          <w:rFonts w:ascii="arial" w:hAnsi="arial"/>
          <w:sz w:val="18"/>
        </w:rPr>
        <w:t xml:space="preserve">In addition, if a corporation acquired by (or combined with) Huron or any subsidiary has shares available under a pre-existing plan approved by stockholders and not adopted in contemplation of such acquisition or combination, the shares available for grant pursuant to the terms of such pre-existing plan (as adjusted, to the extent appropriate, using the exchange ratio or other adjustment or valuation ratio or formula used in such acquisition or combination to determine the consideration payable to the holders of common stock of the entities party to such acquisition or combination) may be used for awards under the Plan and will not reduce the shares authorized for grant under the Plan. Any such awards may not, however, be made after the date awards or grants could have been made under the terms of the pre-existing plan, absent the acquisition or combination, and may only be made to individuals who were not employees or directors of Huron or any subsidiary prior to such acquisition or combination. Notwithstanding the foregoing, such shares may not increase the number of shares available for awards of incentive stock options unless such additional share limit is approved by the shareholders in accordance with Section 422 of the Code.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51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The Plan will be administered by the Compensation Committee. Our executive officers and Hurons other officers, full-time employees numbering approximately 3,900 in total, and outside directors as of March 1, 2021, will be eligible to receive awards under the Plan at the discretion of the Compensation Committee. The Compensation Committee has the authority to administer the Plan and to exercise all of the powers and authorities specifically granted to it under the Plan as necessary or advisable in the administration of the Plan, including the authority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grant awards;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determine the individuals to whom, and the time or times at which, awards will be granted;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determine the type and number of awards to be granted, the number of shares of common stock or cash or other property to which an award may relate and the terms, conditions, restrictions and performance criteria relating to any award;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determine whether, to what extent and under what circumstances an award may be settled, cancelled, forfeited, exchanged or surrendered;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conclusively interpret the Plan and all awards;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prescribe, amend and rescind rules and regulations relating to the Plan;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determine the terms and provisions of any award agreements; and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make all other determinations deemed necessary or advisable for the operation and administration of the Plan. </w:t>
            </w:r>
          </w:p>
        </w:tc>
      </w:tr>
    </w:tbl>
    <w:p>
      <w:pPr>
        <w:pStyle w:val="TextBody"/>
        <w:spacing w:before="200" w:after="0"/>
        <w:jc w:val="both"/>
        <w:rPr>
          <w:rFonts w:ascii="arial" w:hAnsi="arial"/>
          <w:sz w:val="18"/>
        </w:rPr>
      </w:pPr>
      <w:r>
        <w:rPr>
          <w:rFonts w:ascii="arial" w:hAnsi="arial"/>
          <w:sz w:val="18"/>
        </w:rPr>
        <w:t xml:space="preserve">Subject to the provisions of the Plan, the Compensation Committee may: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accelerate the date on which any ISO, NQSO or SAR becomes exercisable;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waive or amend the operation of the Plan provisions respecting exercise of an option or a SAR after termination of employment to a period no longer than 10 years from the date of grant of the award;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accelerate the vesting date, or waive any condition imposed by the Plan, with respect to any full value award; and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otherwise adjust any of the terms applicable to any award in a manner consistent with the terms of the Plan. </w:t>
            </w:r>
          </w:p>
        </w:tc>
      </w:tr>
    </w:tbl>
    <w:p>
      <w:pPr>
        <w:pStyle w:val="TextBody"/>
        <w:spacing w:before="200" w:after="0"/>
        <w:jc w:val="both"/>
        <w:rPr>
          <w:rFonts w:ascii="arial" w:hAnsi="arial"/>
          <w:sz w:val="18"/>
        </w:rPr>
      </w:pPr>
      <w:r>
        <w:rPr>
          <w:rFonts w:ascii="arial" w:hAnsi="arial"/>
          <w:sz w:val="18"/>
        </w:rPr>
        <w:t xml:space="preserve">The Compensation Committee may delegate some of its authority under the Plan to one or more of our officers, to act on behalf of the Compensation Committee with respect to any matter that is the responsibility of the Compensation Committee, as described above, and to approve awards for certain other employees. </w:t>
      </w:r>
    </w:p>
    <w:p>
      <w:pPr>
        <w:pStyle w:val="TextBody"/>
        <w:spacing w:before="200" w:after="0"/>
        <w:jc w:val="both"/>
        <w:rPr>
          <w:rFonts w:ascii="arial" w:hAnsi="arial"/>
          <w:sz w:val="18"/>
        </w:rPr>
      </w:pPr>
      <w:r>
        <w:rPr>
          <w:rFonts w:ascii="arial" w:hAnsi="arial"/>
          <w:sz w:val="18"/>
        </w:rPr>
        <w:t xml:space="preserve">Our board of directors may suspend or terminate the Plan or revise or amend it in any respect, subject to stockholder approval where required to satisfy legal or applicable stock exchange requirements. No amendment may be made without the approval of our stockholders if such amendment would: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materially increase the benefits accruing to a participant under the Plan;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increase the aggregate number of shares of common stock that may be issued under the Plan;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modify the requirements as to eligibility to participate in the Plan; or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result in the repricing or buy-back of options where the exercise price of the option is greater than the then current fair market value of a share of common stock (that is, if it is underwater). </w:t>
            </w:r>
          </w:p>
        </w:tc>
      </w:tr>
    </w:tbl>
    <w:p>
      <w:pPr>
        <w:pStyle w:val="TextBody"/>
        <w:spacing w:before="200" w:after="0"/>
        <w:jc w:val="both"/>
        <w:rPr>
          <w:rFonts w:ascii="arial" w:hAnsi="arial"/>
          <w:sz w:val="18"/>
        </w:rPr>
      </w:pPr>
      <w:r>
        <w:rPr>
          <w:rFonts w:ascii="arial" w:hAnsi="arial"/>
          <w:sz w:val="18"/>
        </w:rPr>
        <w:t xml:space="preserve">No new awards may be made under the Plan on or after February 13, 2030 or, if earlier, on or after the termination of the Plan. Awards granted before termination of the plan may extend beyond termination in accordance with their terms. </w:t>
      </w:r>
    </w:p>
    <w:p>
      <w:pPr>
        <w:pStyle w:val="TextBody"/>
        <w:spacing w:before="200" w:after="0"/>
        <w:jc w:val="both"/>
        <w:rPr>
          <w:rFonts w:ascii="arial" w:hAnsi="arial"/>
          <w:sz w:val="18"/>
        </w:rPr>
      </w:pPr>
      <w:r>
        <w:rPr>
          <w:rFonts w:ascii="arial" w:hAnsi="arial"/>
          <w:sz w:val="18"/>
        </w:rPr>
        <w:t xml:space="preserve">Notwithstanding the provisions of the Plan, the Compensation Committee may grant awards to persons who are foreign nationals on such terms and conditions different from those specified in the Plan as may be necessary or desirable to foster and promote achievement of the purposes of the Plan, subject in any specific case to applicable requirements, such as stockholder approval. Specifically, the Compensation Committee may make such modifications, amendments, procedures and subplans as may be necessary or advisable to comply with provisions of laws in other countries or jurisdictions in which Huron operates or has employees. </w:t>
      </w:r>
    </w:p>
    <w:p>
      <w:pPr>
        <w:pStyle w:val="TextBody"/>
        <w:spacing w:before="200" w:after="0"/>
        <w:jc w:val="both"/>
        <w:rPr>
          <w:rFonts w:ascii="arial" w:hAnsi="arial"/>
          <w:sz w:val="18"/>
        </w:rPr>
      </w:pPr>
      <w:r>
        <w:rPr>
          <w:rFonts w:ascii="arial" w:hAnsi="arial"/>
          <w:sz w:val="18"/>
        </w:rPr>
        <w:t xml:space="preserve">Except for adjustments pursuant to the Plan or reductions of the exercise price approved by stockholders, the exercise price of any outstanding option or SAR may not be decreased after the date of grant, nor may an outstanding option or SAR granted under the Plan be surrendered to the Company as consideration for the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52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grant of a replacement option or SAR with a lower exercise price. Except as approved by the Companys stockholders, in no event may any option or SAR be surrendered to the Company in consideration for a cash payment if, at the time of the surrender, the option or SAR is underwater. Finally, no repricing of an option may be made without the approval of the Companys stockholders if approval is required under the rules of any stock exchange on which the Companys common stock is listed. </w:t>
      </w:r>
    </w:p>
    <w:p>
      <w:pPr>
        <w:pStyle w:val="TextBody"/>
        <w:spacing w:before="200" w:after="0"/>
        <w:jc w:val="both"/>
        <w:rPr>
          <w:rFonts w:ascii="arial" w:hAnsi="arial"/>
          <w:sz w:val="18"/>
        </w:rPr>
      </w:pPr>
      <w:r>
        <w:rPr>
          <w:rFonts w:ascii="arial" w:hAnsi="arial"/>
          <w:sz w:val="18"/>
        </w:rPr>
        <w:t xml:space="preserve">Vesting terms of any award will be specified at the time an award is made, although vesting of an award will be accelerated if a participants employment is terminated by Huron or its successor for reasons other than cause within 12 months of a change of control or if the Plan is terminated within 12 months of a change of control without provision for the continuation of outstanding awards. Unless otherwise determined by the Compensation Committee, if a participant is terminated for cause, all of that persons outstanding unexercised awards will expire on the date prior to the termination. Except for awards that do not exceed 5% of the total number of shares reserved for issuance under the Plan, in no event will the required period of service for full vesting be less than one year (subject, to the extent provided by the Compensation Committee, to acceleration of vesting in the event of a participants death, disability, or change of control). </w:t>
      </w:r>
    </w:p>
    <w:p>
      <w:pPr>
        <w:pStyle w:val="TextBody"/>
        <w:spacing w:before="200" w:after="0"/>
        <w:jc w:val="both"/>
        <w:rPr>
          <w:rFonts w:ascii="arial" w:hAnsi="arial"/>
          <w:sz w:val="18"/>
        </w:rPr>
      </w:pPr>
      <w:r>
        <w:rPr>
          <w:rFonts w:ascii="arial" w:hAnsi="arial"/>
          <w:sz w:val="18"/>
        </w:rPr>
        <w:t xml:space="preserve">Under the Plan, the maximum number of shares of stock that may be granted to any participant during any calendar year period with respect to full value awards that are intended to be performance-based compensation shall not exceed 500,000 shares in the aggregate (subject to equitable adjustment as provided). The maximum number of shares of stock to which ISOs relate that may be granted to any participant under the Plan is 325,000 (subject to equitable adjustment as provided). In addition, the maximum amount payable to any person for any 12-month performance period with respect to a cash incentive award that is intended to be performance-based compensation, which we discuss in further detail in the next subsection, is $10,000,000. Finally, for any participant who is an outside director, the aggregate grant date fair value of awards granted to such individual during any calendar year, along with any regular cash retainer or meeting fees paid to such participant during such calendar year, will not exceed $1,500,000. </w:t>
      </w:r>
    </w:p>
    <w:p>
      <w:pPr>
        <w:pStyle w:val="TextBody"/>
        <w:spacing w:before="200" w:after="0"/>
        <w:jc w:val="both"/>
        <w:rPr>
          <w:rFonts w:ascii="arial" w:hAnsi="arial"/>
          <w:b/>
          <w:color w:val="00548B"/>
          <w:sz w:val="18"/>
        </w:rPr>
      </w:pPr>
      <w:r>
        <w:rPr>
          <w:rFonts w:ascii="arial" w:hAnsi="arial"/>
          <w:b/>
          <w:color w:val="00548B"/>
          <w:sz w:val="18"/>
        </w:rPr>
        <w:t xml:space="preserve">Performance Criteria </w:t>
      </w:r>
    </w:p>
    <w:p>
      <w:pPr>
        <w:pStyle w:val="TextBody"/>
        <w:spacing w:before="0" w:after="0"/>
        <w:jc w:val="both"/>
        <w:rPr>
          <w:rFonts w:ascii="arial" w:hAnsi="arial"/>
          <w:sz w:val="18"/>
        </w:rPr>
      </w:pPr>
      <w:r>
        <w:rPr>
          <w:rFonts w:ascii="arial" w:hAnsi="arial"/>
          <w:sz w:val="18"/>
        </w:rPr>
        <w:t xml:space="preserve">The exercisability or payment of awards may be based upon one or more of the following business criteria as established by the Compensation Committee: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return on total stockholder equity;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earnings or book value per share of Company common stock (EPS);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adjusted EPS;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net income (before or after taxes);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earnings before all or any interest, taxes, depreciation and/or amortization (EBIT, EBITA or EBITDA) measured as a dollar amount or a percentage of revenue;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adjusted EBITDA;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return on assets, capital or investment;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market share;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market capitalization;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cost reduction goals;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levels of expense, costs or liabilities;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department, division or business unit level performance;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operating income;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sales or revenues;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stock price appreciation;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total stockholder return (TSR);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implementation or completion of critical projects or processes;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days sales outstanding (DSO);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financial coverage ratios;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other non-GAAP financial measures; and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any combination of the foregoing. </w:t>
            </w:r>
          </w:p>
        </w:tc>
      </w:tr>
    </w:tbl>
    <w:p>
      <w:pPr>
        <w:pStyle w:val="TextBody"/>
        <w:spacing w:before="200" w:after="0"/>
        <w:jc w:val="both"/>
        <w:rPr>
          <w:rFonts w:ascii="arial" w:hAnsi="arial"/>
          <w:sz w:val="18"/>
        </w:rPr>
      </w:pPr>
      <w:r>
        <w:rPr>
          <w:rFonts w:ascii="arial" w:hAnsi="arial"/>
          <w:sz w:val="18"/>
        </w:rPr>
        <w:t xml:space="preserve">These business criteria may be applied to results including or excluding discontinued operations, expressed in terms of attaining a specified level of the particular criteria or the attainment of a percentage increase or decrease in the particular criteria, and may be applied to one or more of the Company, an affiliate of the Company, or a department, division or strategic business unit of the Company and/or one or more affiliates of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53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the Company. The business criteria also may be applied to the performance of the Company and/or one or more affiliates of the Company relative to a market index, a group of other companies or a combination thereof, as determined by the Compensation Committee. The business criteria may be subject to: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a threshold level of performance below which no payment will be made (or no vesting will occur);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levels of performance at which specified payments will be made (or specified vesting will occur); and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a maximum level of performance above which no additional payment will be made (or at which full vesting will occur). </w:t>
            </w:r>
          </w:p>
        </w:tc>
      </w:tr>
    </w:tbl>
    <w:p>
      <w:pPr>
        <w:pStyle w:val="TextBody"/>
        <w:spacing w:before="200" w:after="0"/>
        <w:jc w:val="both"/>
        <w:rPr>
          <w:rFonts w:ascii="arial" w:hAnsi="arial"/>
          <w:sz w:val="18"/>
        </w:rPr>
      </w:pPr>
      <w:r>
        <w:rPr>
          <w:rFonts w:ascii="arial" w:hAnsi="arial"/>
          <w:sz w:val="18"/>
        </w:rPr>
        <w:t xml:space="preserve">Each of the business criteria will be determined, where applicable, in accordance with generally accepted accounting principles and will be subject to certification by the Compensation Committee. The Compensation Committee has the authority to make equitable adjustments to the business criteria in recognition of: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6"/>
        <w:gridCol w:w="406"/>
        <w:gridCol w:w="9393"/>
      </w:tblGrid>
      <w:tr>
        <w:trPr/>
        <w:tc>
          <w:tcPr>
            <w:tcW w:w="406" w:type="dxa"/>
            <w:tcBorders/>
            <w:shd w:fill="auto" w:val="clear"/>
            <w:vAlign w:val="center"/>
          </w:tcPr>
          <w:p>
            <w:pPr>
              <w:pStyle w:val="TableContents"/>
              <w:spacing w:before="0" w:after="283"/>
              <w:rPr/>
            </w:pPr>
            <w:r>
              <w:rPr/>
              <w:t> </w:t>
            </w:r>
          </w:p>
        </w:tc>
        <w:tc>
          <w:tcPr>
            <w:tcW w:w="406" w:type="dxa"/>
            <w:tcBorders/>
            <w:shd w:fill="auto" w:val="clear"/>
          </w:tcPr>
          <w:p>
            <w:pPr>
              <w:pStyle w:val="TableContents"/>
              <w:spacing w:before="0" w:after="283"/>
              <w:jc w:val="left"/>
              <w:rPr>
                <w:color w:val="00548B"/>
              </w:rPr>
            </w:pPr>
            <w:r>
              <w:rPr>
                <w:color w:val="00548B"/>
              </w:rPr>
              <w:t></w:t>
            </w:r>
          </w:p>
        </w:tc>
        <w:tc>
          <w:tcPr>
            <w:tcW w:w="9393" w:type="dxa"/>
            <w:tcBorders/>
            <w:shd w:fill="auto" w:val="clear"/>
          </w:tcPr>
          <w:p>
            <w:pPr>
              <w:pStyle w:val="TableContents"/>
              <w:spacing w:before="0" w:after="0"/>
              <w:jc w:val="both"/>
              <w:rPr>
                <w:rFonts w:ascii="arial" w:hAnsi="arial"/>
                <w:sz w:val="18"/>
              </w:rPr>
            </w:pPr>
            <w:r>
              <w:rPr>
                <w:rFonts w:ascii="arial" w:hAnsi="arial"/>
                <w:sz w:val="18"/>
              </w:rPr>
              <w:t xml:space="preserve">special, unusual or non-recurring events affecting the Company or any of its affiliates or the financial statements of the Company or any of its affiliates;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changes in applicable laws or regulations;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gains, losses or expenses determined to be extraordinary or unusual in nature or infrequent in occurrence or related to the disposal of a segment of a business or related to a change in accounting principles;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asset write-downs;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litigation, claim judgments, settlements or restatement related expenses; </w:t>
            </w:r>
          </w:p>
        </w:tc>
      </w:tr>
    </w:tbl>
    <w:tbl>
      <w:tblPr>
        <w:tblW w:w="5000" w:type="pct"/>
        <w:jc w:val="left"/>
        <w:tblInd w:w="0" w:type="dxa"/>
        <w:tblCellMar>
          <w:top w:w="0" w:type="dxa"/>
          <w:left w:w="0" w:type="dxa"/>
          <w:bottom w:w="0" w:type="dxa"/>
          <w:right w:w="0" w:type="dxa"/>
        </w:tblCellMar>
      </w:tblPr>
      <w:tblGrid>
        <w:gridCol w:w="407"/>
        <w:gridCol w:w="408"/>
        <w:gridCol w:w="9390"/>
      </w:tblGrid>
      <w:tr>
        <w:trPr/>
        <w:tc>
          <w:tcPr>
            <w:tcW w:w="407"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90" w:type="dxa"/>
            <w:tcBorders/>
            <w:shd w:fill="auto" w:val="clear"/>
          </w:tcPr>
          <w:p>
            <w:pPr>
              <w:pStyle w:val="TableContents"/>
              <w:spacing w:before="0" w:after="0"/>
              <w:jc w:val="both"/>
              <w:rPr>
                <w:rFonts w:ascii="arial" w:hAnsi="arial"/>
                <w:sz w:val="18"/>
              </w:rPr>
            </w:pPr>
            <w:r>
              <w:rPr>
                <w:rFonts w:ascii="arial" w:hAnsi="arial"/>
                <w:sz w:val="18"/>
              </w:rPr>
              <w:t xml:space="preserve">accruals for reorganization and restructuring programs;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acquisitions or divestitures (including expenses related thereto); </w:t>
            </w:r>
          </w:p>
        </w:tc>
      </w:tr>
    </w:tbl>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foreign exchange gains and losses;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non-cash interest; and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an event either not directly related to the operations of the Company or not within reasonable control of the Companys management. </w:t>
            </w:r>
          </w:p>
        </w:tc>
      </w:tr>
    </w:tbl>
    <w:p>
      <w:pPr>
        <w:pStyle w:val="TextBody"/>
        <w:spacing w:before="200" w:after="0"/>
        <w:jc w:val="both"/>
        <w:rPr>
          <w:rFonts w:ascii="arial" w:hAnsi="arial"/>
          <w:b/>
          <w:color w:val="00548B"/>
          <w:sz w:val="18"/>
        </w:rPr>
      </w:pPr>
      <w:r>
        <w:rPr>
          <w:rFonts w:ascii="arial" w:hAnsi="arial"/>
          <w:b/>
          <w:color w:val="00548B"/>
          <w:sz w:val="18"/>
        </w:rPr>
        <w:t xml:space="preserve">Tax Consequences </w:t>
      </w:r>
    </w:p>
    <w:p>
      <w:pPr>
        <w:pStyle w:val="TextBody"/>
        <w:spacing w:before="0" w:after="0"/>
        <w:jc w:val="both"/>
        <w:rPr>
          <w:rFonts w:ascii="arial" w:hAnsi="arial"/>
          <w:sz w:val="18"/>
        </w:rPr>
      </w:pPr>
      <w:r>
        <w:rPr>
          <w:rFonts w:ascii="arial" w:hAnsi="arial"/>
          <w:sz w:val="18"/>
        </w:rPr>
        <w:t xml:space="preserve">The following provides only a general description of the application of U.S. federal income tax laws to certain awards under the Plan. This discussion is intended for the information of our stockholders considering how to vote at the Annual Meeting and not as tax guidance to participants in the Plan, as the consequences may vary with the types of awards made, the identity of the recipients and the method of payment or settlement. Different tax rules may apply, including in the case of variations in transactions that are permitted under the Plan (such as payment of the exercise price of an option by surrender of previously acquired shares of common stock). This summary does not address in any detail the effects of other federal taxes (including possible golden parachute excise taxes) or taxes imposed under state, local or foreign tax laws. </w:t>
      </w:r>
    </w:p>
    <w:p>
      <w:pPr>
        <w:pStyle w:val="TextBody"/>
        <w:spacing w:before="200" w:after="0"/>
        <w:jc w:val="both"/>
        <w:rPr>
          <w:rFonts w:ascii="arial" w:hAnsi="arial"/>
          <w:sz w:val="18"/>
        </w:rPr>
      </w:pPr>
      <w:r>
        <w:rPr>
          <w:rFonts w:ascii="arial" w:hAnsi="arial"/>
          <w:sz w:val="18"/>
        </w:rPr>
        <w:t xml:space="preserve">We generally will be entitled to withhold any required taxes in connection with the exercise or payment of any award, and may require the participant to pay such taxes as a condition to the exercise or payment of an award. ISOs may only be granted to our employees and employees of certain of our subsidiaries. </w:t>
      </w:r>
    </w:p>
    <w:p>
      <w:pPr>
        <w:pStyle w:val="TextBody"/>
        <w:spacing w:before="200" w:after="0"/>
        <w:jc w:val="both"/>
        <w:rPr>
          <w:rFonts w:ascii="arial" w:hAnsi="arial"/>
          <w:sz w:val="18"/>
        </w:rPr>
      </w:pPr>
      <w:r>
        <w:rPr>
          <w:rFonts w:ascii="arial" w:hAnsi="arial"/>
          <w:b/>
          <w:i/>
          <w:color w:val="00548B"/>
          <w:sz w:val="18"/>
        </w:rPr>
        <w:t>Stock Options.</w:t>
      </w:r>
      <w:r>
        <w:rPr>
          <w:rFonts w:ascii="arial" w:hAnsi="arial"/>
          <w:b/>
          <w:i/>
          <w:sz w:val="18"/>
        </w:rPr>
        <w:t xml:space="preserve"> </w:t>
      </w:r>
      <w:r>
        <w:rPr>
          <w:rFonts w:ascii="arial" w:hAnsi="arial"/>
          <w:sz w:val="18"/>
        </w:rPr>
        <w:t xml:space="preserve">ISOs and NQSOs are treated differently for federal income tax purposes. ISOs are intended to satisfy the requirements of Section 422 of the Code. NQSOs need not satisfy such requirements. </w:t>
      </w:r>
    </w:p>
    <w:p>
      <w:pPr>
        <w:pStyle w:val="TextBody"/>
        <w:spacing w:before="200" w:after="0"/>
        <w:jc w:val="both"/>
        <w:rPr>
          <w:rFonts w:ascii="arial" w:hAnsi="arial"/>
          <w:sz w:val="18"/>
        </w:rPr>
      </w:pPr>
      <w:r>
        <w:rPr>
          <w:rFonts w:ascii="arial" w:hAnsi="arial"/>
          <w:sz w:val="18"/>
        </w:rPr>
        <w:t xml:space="preserve">Generally, a participant is not taxed on the grant of an ISO and is not taxed on the exercise of an ISO, except as described in the next sentence and provided that the participant has been an employee of the Company and its subsidiaries (determined in accordance with Internal Revenue Code rules) from the date the ISO was granted until three months before the date of exercise. The difference between the exercise price and the fair market value of the shares on the exercise date, however, will be a preference item for purposes of the alternative minimum tax, and thus a participant could be subject to the alternative minimum tax as a result of the exercise of an ISO. If a participant holds the shares acquired upon exercise of an ISO for at least two years following the ISO grant date and at least one year following exercise, the participant recognizes capital gain (or loss, as applicable), if any, upon a subsequent disposition of such shares. The measure of the gain is the difference between the proceeds received on disposition and the participants basis in the shares (which generally equals the exercise price).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54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If a participant disposes of shares acquired pursuant to exercise of an ISO before satisfying the one-year and two-year holding periods described above, then: (i) if the proceeds received exceed the exercise price of the ISO, the participant will recognize long-term or short-term capital gain (as applicable) equal to the excess, if any, of the proceeds received over the fair market value of the shares on the date of exercise, and will recognize ordinary income equal to the excess, if any, of the lesser of the proceeds received or the fair market value of the shares on the date of exercise over the exercise price of an ISO; or (ii) if the proceeds received are less than the exercise price of the ISO, the participant will recognize a capital loss equal to the excess of the exercise price of the ISO over the proceeds received. </w:t>
      </w:r>
    </w:p>
    <w:p>
      <w:pPr>
        <w:pStyle w:val="TextBody"/>
        <w:spacing w:before="200" w:after="0"/>
        <w:jc w:val="both"/>
        <w:rPr>
          <w:rFonts w:ascii="arial" w:hAnsi="arial"/>
          <w:sz w:val="18"/>
        </w:rPr>
      </w:pPr>
      <w:r>
        <w:rPr>
          <w:rFonts w:ascii="arial" w:hAnsi="arial"/>
          <w:sz w:val="18"/>
        </w:rPr>
        <w:t xml:space="preserve">We are not entitled to an income tax deduction on the grant or exercise of an ISO or on the participants disposition of the shares after satisfying the holding period requirements described above. If the holding periods are not satisfied, we will be entitled to a deduction (subject to the limit under Section 162(m) of the Code discussed below) in the year the participant disposes of the shares in an amount equal to the ordinary income recognized by the participant. </w:t>
      </w:r>
    </w:p>
    <w:p>
      <w:pPr>
        <w:pStyle w:val="TextBody"/>
        <w:spacing w:before="200" w:after="0"/>
        <w:jc w:val="both"/>
        <w:rPr>
          <w:rFonts w:ascii="arial" w:hAnsi="arial"/>
          <w:sz w:val="18"/>
        </w:rPr>
      </w:pPr>
      <w:r>
        <w:rPr>
          <w:rFonts w:ascii="arial" w:hAnsi="arial"/>
          <w:sz w:val="18"/>
        </w:rPr>
        <w:t xml:space="preserve">A recipient generally will not realize any taxable income upon the grant of an NQSO. Upon exercise of an NQSO, the participant will realize ordinary income in an amount generally measured by the excess, if any, of the fair market value of the shares on the date of exercise over the stock option exercise price. We will generally be entitled to a deduction (subject to the limit under Section 162(m) of the Code) in the same amount as the ordinary income realized by the participant. Upon the sale of shares acquired upon exercise of an NQSO, the participant will realize short-term or long-term capital gain or loss, depending upon the length of time the shares are held. Such gain or loss will be measured by the difference between the sale price of the shares and the fair market value on the date of exercise. </w:t>
      </w:r>
    </w:p>
    <w:p>
      <w:pPr>
        <w:pStyle w:val="TextBody"/>
        <w:spacing w:before="200" w:after="0"/>
        <w:jc w:val="both"/>
        <w:rPr>
          <w:rFonts w:ascii="arial" w:hAnsi="arial"/>
          <w:sz w:val="18"/>
        </w:rPr>
      </w:pPr>
      <w:r>
        <w:rPr>
          <w:rFonts w:ascii="arial" w:hAnsi="arial"/>
          <w:b/>
          <w:i/>
          <w:color w:val="00548B"/>
          <w:sz w:val="18"/>
        </w:rPr>
        <w:t>SARs.</w:t>
      </w:r>
      <w:r>
        <w:rPr>
          <w:rFonts w:ascii="arial" w:hAnsi="arial"/>
          <w:color w:val="00548B"/>
          <w:sz w:val="18"/>
        </w:rPr>
        <w:t xml:space="preserve"> </w:t>
      </w:r>
      <w:r>
        <w:rPr>
          <w:rFonts w:ascii="arial" w:hAnsi="arial"/>
          <w:sz w:val="18"/>
        </w:rPr>
        <w:t xml:space="preserve">A participant generally will not realize any taxable income upon the grant of a SAR. Upon the exercise of such right, the participant will recognize ordinary income in an amount equal to the amount of cash and/or the fair market value, at the date of such exercise, of the shares received by the participant as a result of such exercise. We will generally be entitled to a deduction (subject to the limit under Section 162(m) of the Code) in the same amount as the ordinary income realized by the participant. </w:t>
      </w:r>
    </w:p>
    <w:p>
      <w:pPr>
        <w:pStyle w:val="TextBody"/>
        <w:spacing w:before="200" w:after="0"/>
        <w:jc w:val="both"/>
        <w:rPr>
          <w:rFonts w:ascii="arial" w:hAnsi="arial"/>
          <w:sz w:val="18"/>
        </w:rPr>
      </w:pPr>
      <w:r>
        <w:rPr>
          <w:rFonts w:ascii="arial" w:hAnsi="arial"/>
          <w:b/>
          <w:i/>
          <w:color w:val="00548B"/>
          <w:sz w:val="18"/>
        </w:rPr>
        <w:t>Full Value Awards.</w:t>
      </w:r>
      <w:r>
        <w:rPr>
          <w:rFonts w:ascii="arial" w:hAnsi="arial"/>
          <w:color w:val="00548B"/>
          <w:sz w:val="18"/>
        </w:rPr>
        <w:t xml:space="preserve"> </w:t>
      </w:r>
      <w:r>
        <w:rPr>
          <w:rFonts w:ascii="arial" w:hAnsi="arial"/>
          <w:sz w:val="18"/>
        </w:rPr>
        <w:t xml:space="preserve">If a restriction on transferability and substantial risk of forfeiture applies to shares of common stock or other property actually distributed to a participant under an award (such as, for example, a grant of restricted stock), the participant generally must recognize ordinary income equal to the fair market value of the transferred amounts at the earliest time either the transferability restriction or risk of forfeiture lapses. In the usual case, we can claim a tax deduction (subject to the limit under Section 162(m) of the Code) in an amount equal to the ordinary income recognized by the participant, except as discussed below. A participant may elect to be taxed at the time of grant of restricted stock or other property rather than upon lapse of restrictions on transferability or the risk of forfeiture, but if the participant subsequently forfeits such shares of common stock or property he or she would not be entitled to any tax deduction, including as a capital loss, for the value of shares of common stock on which he or she previously paid tax. </w:t>
      </w:r>
    </w:p>
    <w:p>
      <w:pPr>
        <w:pStyle w:val="TextBody"/>
        <w:spacing w:before="200" w:after="0"/>
        <w:jc w:val="both"/>
        <w:rPr>
          <w:rFonts w:ascii="arial" w:hAnsi="arial"/>
          <w:sz w:val="18"/>
        </w:rPr>
      </w:pPr>
      <w:r>
        <w:rPr>
          <w:rFonts w:ascii="arial" w:hAnsi="arial"/>
          <w:sz w:val="18"/>
        </w:rPr>
        <w:t xml:space="preserve">If no substantial risk of forfeiture applies to property distributed to a participant, the participant generally must recognize ordinary income equal to the fair market value of shares of common stock actually received. </w:t>
      </w:r>
    </w:p>
    <w:p>
      <w:pPr>
        <w:pStyle w:val="TextBody"/>
        <w:spacing w:before="200" w:after="0"/>
        <w:jc w:val="both"/>
        <w:rPr>
          <w:rFonts w:ascii="arial" w:hAnsi="arial"/>
          <w:sz w:val="18"/>
        </w:rPr>
      </w:pPr>
      <w:r>
        <w:rPr>
          <w:rFonts w:ascii="arial" w:hAnsi="arial"/>
          <w:sz w:val="18"/>
        </w:rPr>
        <w:t xml:space="preserve">If an award does not consist of property (such as stock units), the participant generally must recognize ordinary income for U.S. income tax purposes when the award is paid in an amount equal to the amount payable or, if the award is settled in shares of common stock, the fair market value on the date of distribution, and we would normally be entitled to a corresponding deduction (subject to the limit under Section 162(m) of the Code). </w:t>
      </w:r>
    </w:p>
    <w:p>
      <w:pPr>
        <w:pStyle w:val="TextBody"/>
        <w:spacing w:before="200" w:after="0"/>
        <w:jc w:val="both"/>
        <w:rPr>
          <w:rFonts w:ascii="arial" w:hAnsi="arial"/>
          <w:sz w:val="18"/>
        </w:rPr>
      </w:pPr>
      <w:r>
        <w:rPr>
          <w:rFonts w:ascii="arial" w:hAnsi="arial"/>
          <w:sz w:val="18"/>
        </w:rPr>
        <w:t xml:space="preserve">In general, under Section 162(m) of the Code, income tax deductions of publicly held corporations may be limited to the extent total compensation (including base salary, annual bonus, stock option exercises and nonqualified benefits) for certain executive officers exceeds $1.0 million (less the amount of any excess parachute payments as defined in Section 280G of the Code) in any taxable year of the corporation. The exception for qualified performance-based compensation was eliminated by the Tax Cuts and Jobs Act of 2017 for tax years beginning on or after January 1, 2018. As a result, any new equity awards under the Plan will be subject to the $1 million deduction limitation. Under the Tax Cuts and Jobs Act, the term covered employee now includes any individual who served as the chief executive officer or chief financial officer at any time during the taxable year and the three other most highly compensated officers for the taxable year. Once an individual becomes a covered employee, that individual will remain a covered employee for all future years, including after termination or death.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55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0548B"/>
          <w:sz w:val="16"/>
        </w:rPr>
      </w:pPr>
      <w:bookmarkStart w:id="35" w:name="toc170561_33"/>
      <w:bookmarkEnd w:id="35"/>
      <w:r>
        <w:rPr>
          <w:rFonts w:ascii="arial" w:hAnsi="arial"/>
          <w:b/>
          <w:color w:val="00548B"/>
          <w:sz w:val="16"/>
        </w:rPr>
        <w:t xml:space="preserve">PROPOSAL 3 </w:t>
      </w:r>
    </w:p>
    <w:p>
      <w:pPr>
        <w:pStyle w:val="TextBody"/>
        <w:spacing w:before="0" w:after="0"/>
        <w:jc w:val="left"/>
        <w:rPr>
          <w:rFonts w:ascii="arial" w:hAnsi="arial"/>
          <w:b/>
          <w:color w:val="00548B"/>
          <w:sz w:val="24"/>
        </w:rPr>
      </w:pPr>
      <w:r>
        <w:rPr>
          <w:rFonts w:ascii="arial" w:hAnsi="arial"/>
          <w:b/>
          <w:color w:val="00548B"/>
          <w:sz w:val="24"/>
        </w:rPr>
        <w:t xml:space="preserve">ADVISORY VOTE TO APPROVE THE COMPANYS EXECUTIVE COMPENSATION </w:t>
      </w:r>
    </w:p>
    <w:p>
      <w:pPr>
        <w:pStyle w:val="TextBody"/>
        <w:spacing w:before="400" w:after="0"/>
        <w:jc w:val="both"/>
        <w:rPr>
          <w:rFonts w:ascii="arial" w:hAnsi="arial"/>
          <w:sz w:val="18"/>
        </w:rPr>
      </w:pPr>
      <w:r>
        <w:rPr>
          <w:rFonts w:ascii="arial" w:hAnsi="arial"/>
          <w:sz w:val="18"/>
        </w:rPr>
        <w:t xml:space="preserve">As required by the Dodd-Frank Wall Street Reform and Consumer Protection Act of 2010 (the Dodd-Frank Act) and the SEC, Huron annually is asking its stockholders to indicate their support for our named executive officer compensation, which includes the compensation discussion and analysis, the compensation tables and the related narrative disclosures, all as described in the section entitled EXECUTIVE COMPENSATIONCompensation Discussion and Analysis. </w:t>
      </w:r>
    </w:p>
    <w:p>
      <w:pPr>
        <w:pStyle w:val="TextBody"/>
        <w:spacing w:before="200" w:after="0"/>
        <w:jc w:val="both"/>
        <w:rPr>
          <w:rFonts w:ascii="arial" w:hAnsi="arial"/>
          <w:sz w:val="18"/>
        </w:rPr>
      </w:pPr>
      <w:r>
        <w:rPr>
          <w:rFonts w:ascii="arial" w:hAnsi="arial"/>
          <w:sz w:val="18"/>
        </w:rPr>
        <w:t xml:space="preserve">The vote solicited by this proposal, commonly known as Say on Pay, is advisory in nature and will not be binding on the board of directors, the Compensation Committee or Huron. However, the board of directors and the Compensation Committee value the opinions of our stockholders, will review the voting results and, to the extent determined appropriate, take into account the outcome of the vote during future deliberations on executive compensation arrangements. </w:t>
      </w:r>
    </w:p>
    <w:p>
      <w:pPr>
        <w:pStyle w:val="TextBody"/>
        <w:spacing w:before="200" w:after="0"/>
        <w:jc w:val="both"/>
        <w:rPr>
          <w:rFonts w:ascii="arial" w:hAnsi="arial"/>
          <w:sz w:val="18"/>
        </w:rPr>
      </w:pPr>
      <w:r>
        <w:rPr>
          <w:rFonts w:ascii="arial" w:hAnsi="arial"/>
          <w:sz w:val="18"/>
        </w:rPr>
        <w:t xml:space="preserve">Huron believes that its executive compensation program is structured to support Huron and its business objectives. This vote is not intended to address any one specific item of compensation, but rather the overall compensation of our named executive officers and the philosophy, policies and practices described in this Proxy Statement. </w:t>
      </w:r>
    </w:p>
    <w:p>
      <w:pPr>
        <w:pStyle w:val="TextBody"/>
        <w:spacing w:before="200" w:after="0"/>
        <w:jc w:val="both"/>
        <w:rPr>
          <w:rFonts w:ascii="arial" w:hAnsi="arial"/>
          <w:sz w:val="18"/>
        </w:rPr>
      </w:pPr>
      <w:r>
        <w:rPr>
          <w:rFonts w:ascii="arial" w:hAnsi="arial"/>
          <w:sz w:val="18"/>
        </w:rPr>
        <w:t xml:space="preserve">The affirmative vote of the holders of a majority of the total shares of common stock, present in person or represented by proxy and entitled to vote on the proposal, is required to approve the advisory vote on the compensation arrangements of our named executive officers. Abstentions will have the same effect as a vote against the proposal. Broker non-votes will not be considered shares entitled to vote with respect to the proposal and will not be counted as votes for or against the proposal and will therefore have no effect on the outcome of the proposal. Proxies submitted pursuant to this solicitation will be voted FOR the approval of the advisory vote on the compensation arrangements of our named executive officers, unless specified otherwise. </w:t>
      </w:r>
    </w:p>
    <w:p>
      <w:pPr>
        <w:pStyle w:val="TextBody"/>
        <w:spacing w:before="200" w:after="0"/>
        <w:jc w:val="both"/>
        <w:rPr>
          <w:rFonts w:ascii="arial" w:hAnsi="arial"/>
          <w:sz w:val="18"/>
        </w:rPr>
      </w:pPr>
      <w:r>
        <w:rPr>
          <w:rFonts w:ascii="arial" w:hAnsi="arial"/>
          <w:sz w:val="18"/>
        </w:rPr>
        <w:t>THE BOARD OF DIRECTORS RECOMMENDS THAT STOCKHOLDERS VOTE </w:t>
      </w:r>
      <w:r>
        <w:rPr>
          <w:rFonts w:ascii="arial" w:hAnsi="arial"/>
          <w:b/>
          <w:sz w:val="18"/>
        </w:rPr>
        <w:t>FOR</w:t>
      </w:r>
      <w:r>
        <w:rPr>
          <w:rFonts w:ascii="arial" w:hAnsi="arial"/>
          <w:sz w:val="18"/>
        </w:rPr>
        <w:t xml:space="preserve"> THE COMPENSATION OF OUR NAMED EXECUTIVE OFFICERS AS DISCLOSED IN THE COMPENSATION DISCUSSION AND ANALYSIS SECTION AND THE ACCOMPANYING COMPENSATION TABLES AND NARRATIVE DISCUSSION IN THIS PROXY STATEMENT.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56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0548B"/>
          <w:sz w:val="16"/>
        </w:rPr>
      </w:pPr>
      <w:bookmarkStart w:id="36" w:name="toc170561_34"/>
      <w:bookmarkEnd w:id="36"/>
      <w:r>
        <w:rPr>
          <w:rFonts w:ascii="arial" w:hAnsi="arial"/>
          <w:b/>
          <w:color w:val="00548B"/>
          <w:sz w:val="16"/>
        </w:rPr>
        <w:t xml:space="preserve">PROPOSAL 4 </w:t>
      </w:r>
    </w:p>
    <w:p>
      <w:pPr>
        <w:pStyle w:val="TextBody"/>
        <w:spacing w:before="0" w:after="0"/>
        <w:jc w:val="left"/>
        <w:rPr>
          <w:rFonts w:ascii="arial" w:hAnsi="arial"/>
          <w:b/>
          <w:color w:val="00548B"/>
          <w:sz w:val="24"/>
        </w:rPr>
      </w:pPr>
      <w:r>
        <w:rPr>
          <w:rFonts w:ascii="arial" w:hAnsi="arial"/>
          <w:b/>
          <w:color w:val="00548B"/>
          <w:sz w:val="24"/>
        </w:rPr>
        <w:t xml:space="preserve">RATIFICATION OF APPOINTMENT OF INDEPENDENT REGISTERED PUBLIC ACCOUNTING FIRM </w:t>
      </w:r>
    </w:p>
    <w:p>
      <w:pPr>
        <w:pStyle w:val="TextBody"/>
        <w:spacing w:before="400" w:after="0"/>
        <w:jc w:val="both"/>
        <w:rPr>
          <w:rFonts w:ascii="arial" w:hAnsi="arial"/>
          <w:sz w:val="18"/>
        </w:rPr>
      </w:pPr>
      <w:r>
        <w:rPr>
          <w:rFonts w:ascii="arial" w:hAnsi="arial"/>
          <w:sz w:val="18"/>
        </w:rPr>
        <w:t xml:space="preserve">PricewaterhouseCoopers LLP (PwC), which has been the independent registered public accounting firm for the Company since its inception, has been appointed by the Audit Committee as the independent registered public accounting firm for the Company and its subsidiaries for the fiscal year ending December 31, 2021. This appointment is being presented to the stockholders for ratification. The ratification of the appointment of PwC as the independent registered public accounting firm requires the affirmative vote of the holders of a majority of the total shares of common stock present in person or represented by proxy and entitled to vote on the proposal, provided that a quorum is represented at the meeting. Abstentions will have the same effect as a vote against ratification. Broker non-votes will not be considered shares entitled to vote with respect to ratification of the appointment and will not be counted as votes for or against the ratification and will therefore have no effect on the outcome of this proposal. Proxies submitted pursuant to this solicitation will be voted FOR the ratification of PwC as the Companys independent registered public accounting firm for the fiscal year ending December 31, 2021, unless specified otherwise. </w:t>
      </w:r>
    </w:p>
    <w:p>
      <w:pPr>
        <w:pStyle w:val="TextBody"/>
        <w:spacing w:before="200" w:after="0"/>
        <w:jc w:val="both"/>
        <w:rPr>
          <w:rFonts w:ascii="arial" w:hAnsi="arial"/>
          <w:sz w:val="18"/>
        </w:rPr>
      </w:pPr>
      <w:r>
        <w:rPr>
          <w:rFonts w:ascii="arial" w:hAnsi="arial"/>
          <w:sz w:val="18"/>
        </w:rPr>
        <w:t>THE BOARD OF DIRECTORS RECOMMENDS THAT STOCKHOLDERS VOTE </w:t>
      </w:r>
      <w:r>
        <w:rPr>
          <w:rFonts w:ascii="arial" w:hAnsi="arial"/>
          <w:b/>
          <w:sz w:val="18"/>
        </w:rPr>
        <w:t>FOR</w:t>
      </w:r>
      <w:r>
        <w:rPr>
          <w:rFonts w:ascii="arial" w:hAnsi="arial"/>
          <w:sz w:val="18"/>
        </w:rPr>
        <w:t xml:space="preserve"> THE RATIFICATION OF THE APPOINTMENT OF PRICEWATERHOUSECOOPERS LLP AS THE COMPANYS INDEPENDENT REGISTERED PUBLIC ACCOUNTING FIRM FOR THE FISCAL YEAR ENDING DECEMBER 31, 2021. </w:t>
      </w:r>
    </w:p>
    <w:p>
      <w:pPr>
        <w:pStyle w:val="TextBody"/>
        <w:spacing w:before="200" w:after="0"/>
        <w:jc w:val="both"/>
        <w:rPr>
          <w:rFonts w:ascii="arial" w:hAnsi="arial"/>
          <w:sz w:val="18"/>
        </w:rPr>
      </w:pPr>
      <w:r>
        <w:rPr>
          <w:rFonts w:ascii="arial" w:hAnsi="arial"/>
          <w:sz w:val="18"/>
        </w:rPr>
        <w:t xml:space="preserve">Representatives of PwC are expected to be present at the Annual Meeting and will be provided an opportunity to make a statement and to respond to appropriate inquiries from stockholders. </w:t>
      </w:r>
    </w:p>
    <w:p>
      <w:pPr>
        <w:pStyle w:val="TextBody"/>
        <w:spacing w:before="200" w:after="0"/>
        <w:jc w:val="both"/>
        <w:rPr>
          <w:rFonts w:ascii="arial" w:hAnsi="arial"/>
          <w:b/>
          <w:color w:val="00548B"/>
          <w:sz w:val="20"/>
        </w:rPr>
      </w:pPr>
      <w:bookmarkStart w:id="37" w:name="toc170561_35"/>
      <w:bookmarkEnd w:id="37"/>
      <w:r>
        <w:rPr>
          <w:rFonts w:ascii="arial" w:hAnsi="arial"/>
          <w:b/>
          <w:color w:val="00548B"/>
          <w:sz w:val="20"/>
        </w:rPr>
        <w:t>A</w:t>
      </w:r>
      <w:r>
        <w:rPr>
          <w:rFonts w:ascii="arial" w:hAnsi="arial"/>
          <w:b/>
          <w:color w:val="00548B"/>
          <w:sz w:val="14"/>
        </w:rPr>
        <w:t>UDIT</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N</w:t>
      </w:r>
      <w:r>
        <w:rPr>
          <w:rFonts w:ascii="arial" w:hAnsi="arial"/>
          <w:b/>
          <w:color w:val="00548B"/>
          <w:sz w:val="14"/>
        </w:rPr>
        <w:t>ON</w:t>
      </w:r>
      <w:r>
        <w:rPr>
          <w:rFonts w:ascii="arial" w:hAnsi="arial"/>
          <w:b/>
          <w:color w:val="00548B"/>
          <w:sz w:val="20"/>
        </w:rPr>
        <w:t>-A</w:t>
      </w:r>
      <w:r>
        <w:rPr>
          <w:rFonts w:ascii="arial" w:hAnsi="arial"/>
          <w:b/>
          <w:color w:val="00548B"/>
          <w:sz w:val="14"/>
        </w:rPr>
        <w:t>UDIT</w:t>
      </w:r>
      <w:r>
        <w:rPr>
          <w:rFonts w:ascii="arial" w:hAnsi="arial"/>
          <w:b/>
          <w:color w:val="00548B"/>
          <w:sz w:val="20"/>
        </w:rPr>
        <w:t xml:space="preserve"> F</w:t>
      </w:r>
      <w:r>
        <w:rPr>
          <w:rFonts w:ascii="arial" w:hAnsi="arial"/>
          <w:b/>
          <w:color w:val="00548B"/>
          <w:sz w:val="14"/>
        </w:rPr>
        <w:t>EES</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following table presents fees for professional audit services rendered by PwC for the audit of the Companys annual financial statements for the years ended December 31, 2020 and December 31, 2019, and fees for other services rendered by PwC during those periods: </w:t>
      </w:r>
    </w:p>
    <w:p>
      <w:pPr>
        <w:pStyle w:val="TextBody"/>
        <w:spacing w:before="0" w:after="0"/>
        <w:jc w:val="left"/>
        <w:rPr/>
      </w:pPr>
      <w:r>
        <w:rPr/>
        <w:t> </w:t>
      </w:r>
    </w:p>
    <w:tbl>
      <w:tblPr>
        <w:tblW w:w="4600" w:type="pct"/>
        <w:jc w:val="center"/>
        <w:tblInd w:w="0" w:type="dxa"/>
        <w:tblCellMar>
          <w:top w:w="0" w:type="dxa"/>
          <w:left w:w="0" w:type="dxa"/>
          <w:bottom w:w="0" w:type="dxa"/>
          <w:right w:w="0" w:type="dxa"/>
        </w:tblCellMar>
      </w:tblPr>
      <w:tblGrid>
        <w:gridCol w:w="5457"/>
        <w:gridCol w:w="120"/>
        <w:gridCol w:w="210"/>
        <w:gridCol w:w="1250"/>
        <w:gridCol w:w="141"/>
        <w:gridCol w:w="60"/>
        <w:gridCol w:w="60"/>
        <w:gridCol w:w="60"/>
        <w:gridCol w:w="195"/>
        <w:gridCol w:w="229"/>
        <w:gridCol w:w="210"/>
        <w:gridCol w:w="1250"/>
        <w:gridCol w:w="146"/>
      </w:tblGrid>
      <w:tr>
        <w:trPr/>
        <w:tc>
          <w:tcPr>
            <w:tcW w:w="5457" w:type="dxa"/>
            <w:tcBorders/>
            <w:shd w:fill="auto" w:val="clear"/>
            <w:vAlign w:val="center"/>
          </w:tcPr>
          <w:p>
            <w:pPr>
              <w:pStyle w:val="TableContents"/>
              <w:spacing w:before="0" w:after="283"/>
              <w:rPr>
                <w:sz w:val="4"/>
                <w:szCs w:val="4"/>
              </w:rPr>
            </w:pPr>
            <w:r>
              <w:rPr>
                <w:sz w:val="4"/>
                <w:szCs w:val="4"/>
              </w:rPr>
            </w:r>
          </w:p>
        </w:tc>
        <w:tc>
          <w:tcPr>
            <w:tcW w:w="120"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41"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95" w:type="dxa"/>
            <w:tcBorders/>
            <w:shd w:fill="auto" w:val="clear"/>
            <w:vAlign w:val="bottom"/>
          </w:tcPr>
          <w:p>
            <w:pPr>
              <w:pStyle w:val="TableContents"/>
              <w:spacing w:before="0" w:after="283"/>
              <w:rPr>
                <w:sz w:val="4"/>
                <w:szCs w:val="4"/>
              </w:rPr>
            </w:pPr>
            <w:r>
              <w:rPr>
                <w:sz w:val="4"/>
                <w:szCs w:val="4"/>
              </w:rPr>
            </w:r>
          </w:p>
        </w:tc>
        <w:tc>
          <w:tcPr>
            <w:tcW w:w="229" w:type="dxa"/>
            <w:tcBorders/>
            <w:shd w:fill="auto" w:val="clear"/>
            <w:vAlign w:val="bottom"/>
          </w:tcPr>
          <w:p>
            <w:pPr>
              <w:pStyle w:val="TableContents"/>
              <w:spacing w:before="0" w:after="283"/>
              <w:rPr>
                <w:sz w:val="4"/>
                <w:szCs w:val="4"/>
              </w:rPr>
            </w:pPr>
            <w:r>
              <w:rPr>
                <w:sz w:val="4"/>
                <w:szCs w:val="4"/>
              </w:rPr>
            </w:r>
          </w:p>
        </w:tc>
        <w:tc>
          <w:tcPr>
            <w:tcW w:w="210" w:type="dxa"/>
            <w:tcBorders/>
            <w:shd w:fill="auto" w:val="clear"/>
            <w:vAlign w:val="center"/>
          </w:tcPr>
          <w:p>
            <w:pPr>
              <w:pStyle w:val="TableContents"/>
              <w:spacing w:before="0" w:after="283"/>
              <w:rPr>
                <w:sz w:val="4"/>
                <w:szCs w:val="4"/>
              </w:rPr>
            </w:pPr>
            <w:r>
              <w:rPr>
                <w:sz w:val="4"/>
                <w:szCs w:val="4"/>
              </w:rPr>
            </w:r>
          </w:p>
        </w:tc>
        <w:tc>
          <w:tcPr>
            <w:tcW w:w="1250" w:type="dxa"/>
            <w:tcBorders/>
            <w:shd w:fill="auto" w:val="clear"/>
            <w:vAlign w:val="center"/>
          </w:tcPr>
          <w:p>
            <w:pPr>
              <w:pStyle w:val="TableContents"/>
              <w:spacing w:before="0" w:after="283"/>
              <w:rPr>
                <w:sz w:val="4"/>
                <w:szCs w:val="4"/>
              </w:rPr>
            </w:pPr>
            <w:r>
              <w:rPr>
                <w:sz w:val="4"/>
                <w:szCs w:val="4"/>
              </w:rPr>
            </w:r>
          </w:p>
        </w:tc>
        <w:tc>
          <w:tcPr>
            <w:tcW w:w="146" w:type="dxa"/>
            <w:tcBorders/>
            <w:shd w:fill="auto" w:val="clear"/>
            <w:vAlign w:val="bottom"/>
          </w:tcPr>
          <w:p>
            <w:pPr>
              <w:pStyle w:val="TableContents"/>
              <w:spacing w:before="0" w:after="283"/>
              <w:rPr>
                <w:sz w:val="4"/>
                <w:szCs w:val="4"/>
              </w:rPr>
            </w:pPr>
            <w:r>
              <w:rPr>
                <w:sz w:val="4"/>
                <w:szCs w:val="4"/>
              </w:rPr>
            </w:r>
          </w:p>
        </w:tc>
      </w:tr>
      <w:tr>
        <w:trPr/>
        <w:tc>
          <w:tcPr>
            <w:tcW w:w="5457" w:type="dxa"/>
            <w:tcBorders/>
            <w:shd w:fill="00548B" w:val="clear"/>
            <w:vAlign w:val="bottom"/>
          </w:tcPr>
          <w:p>
            <w:pPr>
              <w:pStyle w:val="TableContents"/>
              <w:spacing w:before="0" w:after="283"/>
              <w:rPr/>
            </w:pPr>
            <w:r>
              <w:rPr/>
              <w:t> </w:t>
            </w:r>
          </w:p>
        </w:tc>
        <w:tc>
          <w:tcPr>
            <w:tcW w:w="120" w:type="dxa"/>
            <w:tcBorders>
              <w:bottom w:val="single" w:sz="2" w:space="0" w:color="D8D8D8"/>
            </w:tcBorders>
            <w:shd w:fill="00548B" w:val="clear"/>
            <w:tcMar>
              <w:bottom w:w="28" w:type="dxa"/>
            </w:tcMar>
            <w:vAlign w:val="bottom"/>
          </w:tcPr>
          <w:p>
            <w:pPr>
              <w:pStyle w:val="TableContents"/>
              <w:spacing w:before="0" w:after="283"/>
              <w:rPr/>
            </w:pPr>
            <w:r>
              <w:rPr/>
              <w:t>  </w:t>
            </w:r>
          </w:p>
        </w:tc>
        <w:tc>
          <w:tcPr>
            <w:tcW w:w="1460" w:type="dxa"/>
            <w:gridSpan w:val="2"/>
            <w:tcBorders>
              <w:bottom w:val="single" w:sz="2" w:space="0" w:color="D8D8D8"/>
            </w:tcBorders>
            <w:shd w:fill="00548B" w:val="clear"/>
            <w:tcMar>
              <w:bottom w:w="28" w:type="dxa"/>
            </w:tcMar>
            <w:vAlign w:val="bottom"/>
          </w:tcPr>
          <w:p>
            <w:pPr>
              <w:pStyle w:val="TableContents"/>
              <w:spacing w:before="0" w:after="283"/>
              <w:jc w:val="center"/>
              <w:rPr>
                <w:color w:val="D8D8D8"/>
              </w:rPr>
            </w:pPr>
            <w:r>
              <w:rPr>
                <w:color w:val="D8D8D8"/>
              </w:rPr>
              <w:t>        </w:t>
            </w:r>
            <w:r>
              <w:rPr>
                <w:b/>
                <w:color w:val="D8D8D8"/>
              </w:rPr>
              <w:t>2020        </w:t>
            </w:r>
          </w:p>
        </w:tc>
        <w:tc>
          <w:tcPr>
            <w:tcW w:w="141" w:type="dxa"/>
            <w:tcBorders>
              <w:bottom w:val="single" w:sz="2" w:space="0" w:color="D8D8D8"/>
            </w:tcBorders>
            <w:shd w:fill="00548B" w:val="clear"/>
            <w:tcMar>
              <w:bottom w:w="28" w:type="dxa"/>
            </w:tcMar>
            <w:vAlign w:val="bottom"/>
          </w:tcPr>
          <w:p>
            <w:pPr>
              <w:pStyle w:val="TableContents"/>
              <w:spacing w:before="0" w:after="283"/>
              <w:rPr/>
            </w:pPr>
            <w:r>
              <w:rPr/>
              <w:t> </w:t>
            </w:r>
          </w:p>
        </w:tc>
        <w:tc>
          <w:tcPr>
            <w:tcW w:w="60" w:type="dxa"/>
            <w:tcBorders/>
            <w:shd w:fill="00548B" w:val="clear"/>
            <w:vAlign w:val="bottom"/>
          </w:tcPr>
          <w:p>
            <w:pPr>
              <w:pStyle w:val="TableContents"/>
              <w:spacing w:before="0" w:after="283"/>
              <w:rPr/>
            </w:pPr>
            <w:r>
              <w:rPr/>
              <w:t> </w:t>
            </w:r>
          </w:p>
        </w:tc>
        <w:tc>
          <w:tcPr>
            <w:tcW w:w="120" w:type="dxa"/>
            <w:gridSpan w:val="2"/>
            <w:tcBorders/>
            <w:shd w:fill="00548B" w:val="clear"/>
            <w:vAlign w:val="bottom"/>
          </w:tcPr>
          <w:p>
            <w:pPr>
              <w:pStyle w:val="TableContents"/>
              <w:spacing w:before="0" w:after="283"/>
              <w:rPr/>
            </w:pPr>
            <w:r>
              <w:rPr/>
              <w:t> </w:t>
            </w:r>
          </w:p>
        </w:tc>
        <w:tc>
          <w:tcPr>
            <w:tcW w:w="195" w:type="dxa"/>
            <w:tcBorders/>
            <w:shd w:fill="00548B" w:val="clear"/>
            <w:vAlign w:val="bottom"/>
          </w:tcPr>
          <w:p>
            <w:pPr>
              <w:pStyle w:val="TableContents"/>
              <w:spacing w:before="0" w:after="283"/>
              <w:rPr/>
            </w:pPr>
            <w:r>
              <w:rPr/>
              <w:t> </w:t>
            </w:r>
          </w:p>
        </w:tc>
        <w:tc>
          <w:tcPr>
            <w:tcW w:w="229" w:type="dxa"/>
            <w:tcBorders>
              <w:bottom w:val="single" w:sz="2" w:space="0" w:color="D8D8D8"/>
            </w:tcBorders>
            <w:shd w:fill="00548B" w:val="clear"/>
            <w:tcMar>
              <w:bottom w:w="28" w:type="dxa"/>
            </w:tcMar>
            <w:vAlign w:val="bottom"/>
          </w:tcPr>
          <w:p>
            <w:pPr>
              <w:pStyle w:val="TableContents"/>
              <w:spacing w:before="0" w:after="283"/>
              <w:rPr/>
            </w:pPr>
            <w:r>
              <w:rPr/>
              <w:t>  </w:t>
            </w:r>
          </w:p>
        </w:tc>
        <w:tc>
          <w:tcPr>
            <w:tcW w:w="1460" w:type="dxa"/>
            <w:gridSpan w:val="2"/>
            <w:tcBorders>
              <w:bottom w:val="single" w:sz="2" w:space="0" w:color="D8D8D8"/>
            </w:tcBorders>
            <w:shd w:fill="00548B" w:val="clear"/>
            <w:tcMar>
              <w:bottom w:w="28" w:type="dxa"/>
            </w:tcMar>
            <w:vAlign w:val="bottom"/>
          </w:tcPr>
          <w:p>
            <w:pPr>
              <w:pStyle w:val="TableContents"/>
              <w:spacing w:before="0" w:after="283"/>
              <w:jc w:val="center"/>
              <w:rPr>
                <w:color w:val="D8D8D8"/>
              </w:rPr>
            </w:pPr>
            <w:r>
              <w:rPr>
                <w:color w:val="D8D8D8"/>
              </w:rPr>
              <w:t>        </w:t>
            </w:r>
            <w:r>
              <w:rPr>
                <w:b/>
                <w:color w:val="D8D8D8"/>
              </w:rPr>
              <w:t>2019        </w:t>
            </w:r>
          </w:p>
        </w:tc>
        <w:tc>
          <w:tcPr>
            <w:tcW w:w="146" w:type="dxa"/>
            <w:tcBorders>
              <w:bottom w:val="single" w:sz="2" w:space="0" w:color="D8D8D8"/>
            </w:tcBorders>
            <w:shd w:fill="00548B" w:val="clear"/>
            <w:tcMar>
              <w:bottom w:w="28" w:type="dxa"/>
            </w:tcMar>
            <w:vAlign w:val="bottom"/>
          </w:tcPr>
          <w:p>
            <w:pPr>
              <w:pStyle w:val="TableContents"/>
              <w:spacing w:before="0" w:after="283"/>
              <w:rPr/>
            </w:pPr>
            <w:r>
              <w:rPr/>
              <w:t> </w:t>
            </w:r>
          </w:p>
        </w:tc>
      </w:tr>
      <w:tr>
        <w:trPr/>
        <w:tc>
          <w:tcPr>
            <w:tcW w:w="5457" w:type="dxa"/>
            <w:tcBorders/>
            <w:shd w:fill="00548B" w:val="clear"/>
            <w:vAlign w:val="bottom"/>
          </w:tcPr>
          <w:p>
            <w:pPr>
              <w:pStyle w:val="TableContents"/>
              <w:spacing w:before="0" w:after="283"/>
              <w:rPr/>
            </w:pPr>
            <w:r>
              <w:rPr/>
              <w:t> </w:t>
            </w:r>
          </w:p>
        </w:tc>
        <w:tc>
          <w:tcPr>
            <w:tcW w:w="120" w:type="dxa"/>
            <w:tcBorders/>
            <w:shd w:fill="00548B" w:val="clear"/>
            <w:vAlign w:val="bottom"/>
          </w:tcPr>
          <w:p>
            <w:pPr>
              <w:pStyle w:val="TableContents"/>
              <w:spacing w:before="0" w:after="283"/>
              <w:rPr/>
            </w:pPr>
            <w:r>
              <w:rPr/>
              <w:t>  </w:t>
            </w:r>
          </w:p>
        </w:tc>
        <w:tc>
          <w:tcPr>
            <w:tcW w:w="3665" w:type="dxa"/>
            <w:gridSpan w:val="10"/>
            <w:tcBorders/>
            <w:shd w:fill="00548B" w:val="clear"/>
            <w:vAlign w:val="bottom"/>
          </w:tcPr>
          <w:p>
            <w:pPr>
              <w:pStyle w:val="TableContents"/>
              <w:spacing w:before="0" w:after="283"/>
              <w:jc w:val="center"/>
              <w:rPr>
                <w:b/>
                <w:color w:val="E5E5E5"/>
              </w:rPr>
            </w:pPr>
            <w:r>
              <w:rPr>
                <w:b/>
                <w:color w:val="E5E5E5"/>
              </w:rPr>
              <w:t>(in thousands)</w:t>
            </w:r>
          </w:p>
        </w:tc>
        <w:tc>
          <w:tcPr>
            <w:tcW w:w="146" w:type="dxa"/>
            <w:tcBorders/>
            <w:shd w:fill="00548B" w:val="clear"/>
            <w:vAlign w:val="bottom"/>
          </w:tcPr>
          <w:p>
            <w:pPr>
              <w:pStyle w:val="TableContents"/>
              <w:spacing w:before="0" w:after="283"/>
              <w:rPr/>
            </w:pPr>
            <w:r>
              <w:rPr/>
              <w:t> </w:t>
            </w:r>
          </w:p>
        </w:tc>
      </w:tr>
      <w:tr>
        <w:trPr/>
        <w:tc>
          <w:tcPr>
            <w:tcW w:w="5457"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Audit Fees</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210"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w:t>
            </w:r>
          </w:p>
        </w:tc>
        <w:tc>
          <w:tcPr>
            <w:tcW w:w="125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1,627 </w:t>
            </w:r>
          </w:p>
        </w:tc>
        <w:tc>
          <w:tcPr>
            <w:tcW w:w="141" w:type="dxa"/>
            <w:tcBorders>
              <w:bottom w:val="single" w:sz="2" w:space="0" w:color="999999"/>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95" w:type="dxa"/>
            <w:tcBorders>
              <w:bottom w:val="single" w:sz="2" w:space="0" w:color="999999"/>
            </w:tcBorders>
            <w:shd w:fill="auto" w:val="clear"/>
            <w:tcMar>
              <w:bottom w:w="28" w:type="dxa"/>
            </w:tcMar>
            <w:vAlign w:val="bottom"/>
          </w:tcPr>
          <w:p>
            <w:pPr>
              <w:pStyle w:val="TableContents"/>
              <w:spacing w:before="0" w:after="283"/>
              <w:rPr/>
            </w:pPr>
            <w:r>
              <w:rPr/>
              <w:t> </w:t>
            </w:r>
          </w:p>
        </w:tc>
        <w:tc>
          <w:tcPr>
            <w:tcW w:w="229" w:type="dxa"/>
            <w:tcBorders>
              <w:bottom w:val="single" w:sz="2" w:space="0" w:color="999999"/>
            </w:tcBorders>
            <w:shd w:fill="auto" w:val="clear"/>
            <w:tcMar>
              <w:bottom w:w="28" w:type="dxa"/>
            </w:tcMar>
            <w:vAlign w:val="bottom"/>
          </w:tcPr>
          <w:p>
            <w:pPr>
              <w:pStyle w:val="TableContents"/>
              <w:spacing w:before="0" w:after="283"/>
              <w:rPr/>
            </w:pPr>
            <w:r>
              <w:rPr/>
              <w:t>  </w:t>
            </w:r>
          </w:p>
        </w:tc>
        <w:tc>
          <w:tcPr>
            <w:tcW w:w="210"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w:t>
            </w:r>
          </w:p>
        </w:tc>
        <w:tc>
          <w:tcPr>
            <w:tcW w:w="125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1,585 </w:t>
            </w:r>
          </w:p>
        </w:tc>
        <w:tc>
          <w:tcPr>
            <w:tcW w:w="146" w:type="dxa"/>
            <w:tcBorders>
              <w:bottom w:val="single" w:sz="2" w:space="0" w:color="999999"/>
            </w:tcBorders>
            <w:shd w:fill="auto" w:val="clear"/>
            <w:tcMar>
              <w:bottom w:w="28" w:type="dxa"/>
            </w:tcMar>
            <w:vAlign w:val="bottom"/>
          </w:tcPr>
          <w:p>
            <w:pPr>
              <w:pStyle w:val="TableContents"/>
              <w:spacing w:before="0" w:after="283"/>
              <w:rPr>
                <w:sz w:val="4"/>
                <w:szCs w:val="4"/>
              </w:rPr>
            </w:pPr>
            <w:r>
              <w:rPr>
                <w:sz w:val="4"/>
                <w:szCs w:val="4"/>
              </w:rPr>
            </w:r>
          </w:p>
        </w:tc>
      </w:tr>
      <w:tr>
        <w:trPr/>
        <w:tc>
          <w:tcPr>
            <w:tcW w:w="5457"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Audit-Related Fees</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210"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w:t>
            </w:r>
          </w:p>
        </w:tc>
        <w:tc>
          <w:tcPr>
            <w:tcW w:w="125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10 </w:t>
            </w:r>
          </w:p>
        </w:tc>
        <w:tc>
          <w:tcPr>
            <w:tcW w:w="141" w:type="dxa"/>
            <w:tcBorders>
              <w:bottom w:val="single" w:sz="2" w:space="0" w:color="999999"/>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95" w:type="dxa"/>
            <w:tcBorders>
              <w:bottom w:val="single" w:sz="2" w:space="0" w:color="999999"/>
            </w:tcBorders>
            <w:shd w:fill="auto" w:val="clear"/>
            <w:tcMar>
              <w:bottom w:w="28" w:type="dxa"/>
            </w:tcMar>
            <w:vAlign w:val="bottom"/>
          </w:tcPr>
          <w:p>
            <w:pPr>
              <w:pStyle w:val="TableContents"/>
              <w:spacing w:before="0" w:after="283"/>
              <w:rPr/>
            </w:pPr>
            <w:r>
              <w:rPr/>
              <w:t> </w:t>
            </w:r>
          </w:p>
        </w:tc>
        <w:tc>
          <w:tcPr>
            <w:tcW w:w="229" w:type="dxa"/>
            <w:tcBorders>
              <w:bottom w:val="single" w:sz="2" w:space="0" w:color="999999"/>
            </w:tcBorders>
            <w:shd w:fill="auto" w:val="clear"/>
            <w:tcMar>
              <w:bottom w:w="28" w:type="dxa"/>
            </w:tcMar>
            <w:vAlign w:val="bottom"/>
          </w:tcPr>
          <w:p>
            <w:pPr>
              <w:pStyle w:val="TableContents"/>
              <w:spacing w:before="0" w:after="283"/>
              <w:rPr/>
            </w:pPr>
            <w:r>
              <w:rPr/>
              <w:t>  </w:t>
            </w:r>
          </w:p>
        </w:tc>
        <w:tc>
          <w:tcPr>
            <w:tcW w:w="210"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w:t>
            </w:r>
          </w:p>
        </w:tc>
        <w:tc>
          <w:tcPr>
            <w:tcW w:w="125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10 </w:t>
            </w:r>
          </w:p>
        </w:tc>
        <w:tc>
          <w:tcPr>
            <w:tcW w:w="146" w:type="dxa"/>
            <w:tcBorders>
              <w:bottom w:val="single" w:sz="2" w:space="0" w:color="999999"/>
            </w:tcBorders>
            <w:shd w:fill="auto" w:val="clear"/>
            <w:tcMar>
              <w:bottom w:w="28" w:type="dxa"/>
            </w:tcMar>
            <w:vAlign w:val="bottom"/>
          </w:tcPr>
          <w:p>
            <w:pPr>
              <w:pStyle w:val="TableContents"/>
              <w:spacing w:before="0" w:after="283"/>
              <w:rPr>
                <w:sz w:val="4"/>
                <w:szCs w:val="4"/>
              </w:rPr>
            </w:pPr>
            <w:r>
              <w:rPr>
                <w:sz w:val="4"/>
                <w:szCs w:val="4"/>
              </w:rPr>
            </w:r>
          </w:p>
        </w:tc>
      </w:tr>
      <w:tr>
        <w:trPr/>
        <w:tc>
          <w:tcPr>
            <w:tcW w:w="5457"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Tax Fees</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210"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w:t>
            </w:r>
          </w:p>
        </w:tc>
        <w:tc>
          <w:tcPr>
            <w:tcW w:w="125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261 </w:t>
            </w:r>
          </w:p>
        </w:tc>
        <w:tc>
          <w:tcPr>
            <w:tcW w:w="141" w:type="dxa"/>
            <w:tcBorders>
              <w:bottom w:val="single" w:sz="2" w:space="0" w:color="999999"/>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95" w:type="dxa"/>
            <w:tcBorders>
              <w:bottom w:val="single" w:sz="2" w:space="0" w:color="999999"/>
            </w:tcBorders>
            <w:shd w:fill="auto" w:val="clear"/>
            <w:tcMar>
              <w:bottom w:w="28" w:type="dxa"/>
            </w:tcMar>
            <w:vAlign w:val="bottom"/>
          </w:tcPr>
          <w:p>
            <w:pPr>
              <w:pStyle w:val="TableContents"/>
              <w:spacing w:before="0" w:after="283"/>
              <w:rPr/>
            </w:pPr>
            <w:r>
              <w:rPr/>
              <w:t> </w:t>
            </w:r>
          </w:p>
        </w:tc>
        <w:tc>
          <w:tcPr>
            <w:tcW w:w="229" w:type="dxa"/>
            <w:tcBorders>
              <w:bottom w:val="single" w:sz="2" w:space="0" w:color="999999"/>
            </w:tcBorders>
            <w:shd w:fill="auto" w:val="clear"/>
            <w:tcMar>
              <w:bottom w:w="28" w:type="dxa"/>
            </w:tcMar>
            <w:vAlign w:val="bottom"/>
          </w:tcPr>
          <w:p>
            <w:pPr>
              <w:pStyle w:val="TableContents"/>
              <w:spacing w:before="0" w:after="283"/>
              <w:rPr/>
            </w:pPr>
            <w:r>
              <w:rPr/>
              <w:t>  </w:t>
            </w:r>
          </w:p>
        </w:tc>
        <w:tc>
          <w:tcPr>
            <w:tcW w:w="210"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w:t>
            </w:r>
          </w:p>
        </w:tc>
        <w:tc>
          <w:tcPr>
            <w:tcW w:w="125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215 </w:t>
            </w:r>
          </w:p>
        </w:tc>
        <w:tc>
          <w:tcPr>
            <w:tcW w:w="146" w:type="dxa"/>
            <w:tcBorders>
              <w:bottom w:val="single" w:sz="2" w:space="0" w:color="999999"/>
            </w:tcBorders>
            <w:shd w:fill="auto" w:val="clear"/>
            <w:tcMar>
              <w:bottom w:w="28" w:type="dxa"/>
            </w:tcMar>
            <w:vAlign w:val="bottom"/>
          </w:tcPr>
          <w:p>
            <w:pPr>
              <w:pStyle w:val="TableContents"/>
              <w:spacing w:before="0" w:after="283"/>
              <w:rPr>
                <w:sz w:val="4"/>
                <w:szCs w:val="4"/>
              </w:rPr>
            </w:pPr>
            <w:r>
              <w:rPr>
                <w:sz w:val="4"/>
                <w:szCs w:val="4"/>
              </w:rPr>
            </w:r>
          </w:p>
        </w:tc>
      </w:tr>
      <w:tr>
        <w:trPr/>
        <w:tc>
          <w:tcPr>
            <w:tcW w:w="5457" w:type="dxa"/>
            <w:tcBorders>
              <w:bottom w:val="single" w:sz="2" w:space="0" w:color="999999"/>
            </w:tcBorders>
            <w:shd w:fill="auto" w:val="clear"/>
            <w:tcMar>
              <w:bottom w:w="28" w:type="dxa"/>
            </w:tcMar>
          </w:tcPr>
          <w:p>
            <w:pPr>
              <w:pStyle w:val="TableContents"/>
              <w:spacing w:before="0" w:after="0"/>
              <w:rPr>
                <w:rFonts w:ascii="arial" w:hAnsi="arial"/>
                <w:sz w:val="18"/>
              </w:rPr>
            </w:pPr>
            <w:r>
              <w:rPr>
                <w:rFonts w:ascii="arial" w:hAnsi="arial"/>
                <w:sz w:val="18"/>
              </w:rPr>
              <w:t>All Other Fees</w:t>
            </w:r>
          </w:p>
        </w:tc>
        <w:tc>
          <w:tcPr>
            <w:tcW w:w="120" w:type="dxa"/>
            <w:tcBorders>
              <w:bottom w:val="single" w:sz="2" w:space="0" w:color="999999"/>
            </w:tcBorders>
            <w:shd w:fill="auto" w:val="clear"/>
            <w:tcMar>
              <w:bottom w:w="28" w:type="dxa"/>
            </w:tcMar>
            <w:vAlign w:val="bottom"/>
          </w:tcPr>
          <w:p>
            <w:pPr>
              <w:pStyle w:val="TableContents"/>
              <w:spacing w:before="0" w:after="283"/>
              <w:rPr/>
            </w:pPr>
            <w:r>
              <w:rPr/>
              <w:t>  </w:t>
            </w:r>
          </w:p>
        </w:tc>
        <w:tc>
          <w:tcPr>
            <w:tcW w:w="210"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w:t>
            </w:r>
          </w:p>
        </w:tc>
        <w:tc>
          <w:tcPr>
            <w:tcW w:w="125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318 </w:t>
            </w:r>
          </w:p>
        </w:tc>
        <w:tc>
          <w:tcPr>
            <w:tcW w:w="141" w:type="dxa"/>
            <w:tcBorders>
              <w:bottom w:val="single" w:sz="2" w:space="0" w:color="999999"/>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60" w:type="dxa"/>
            <w:tcBorders>
              <w:bottom w:val="single" w:sz="2" w:space="0" w:color="999999"/>
            </w:tcBorders>
            <w:shd w:fill="auto" w:val="clear"/>
            <w:tcMar>
              <w:bottom w:w="28" w:type="dxa"/>
            </w:tcMar>
            <w:vAlign w:val="bottom"/>
          </w:tcPr>
          <w:p>
            <w:pPr>
              <w:pStyle w:val="TableContents"/>
              <w:spacing w:before="0" w:after="283"/>
              <w:rPr/>
            </w:pPr>
            <w:r>
              <w:rPr/>
              <w:t> </w:t>
            </w:r>
          </w:p>
        </w:tc>
        <w:tc>
          <w:tcPr>
            <w:tcW w:w="195" w:type="dxa"/>
            <w:tcBorders>
              <w:bottom w:val="single" w:sz="2" w:space="0" w:color="999999"/>
            </w:tcBorders>
            <w:shd w:fill="auto" w:val="clear"/>
            <w:tcMar>
              <w:bottom w:w="28" w:type="dxa"/>
            </w:tcMar>
            <w:vAlign w:val="bottom"/>
          </w:tcPr>
          <w:p>
            <w:pPr>
              <w:pStyle w:val="TableContents"/>
              <w:spacing w:before="0" w:after="283"/>
              <w:rPr/>
            </w:pPr>
            <w:r>
              <w:rPr/>
              <w:t> </w:t>
            </w:r>
          </w:p>
        </w:tc>
        <w:tc>
          <w:tcPr>
            <w:tcW w:w="229" w:type="dxa"/>
            <w:tcBorders>
              <w:bottom w:val="single" w:sz="2" w:space="0" w:color="999999"/>
            </w:tcBorders>
            <w:shd w:fill="auto" w:val="clear"/>
            <w:tcMar>
              <w:bottom w:w="28" w:type="dxa"/>
            </w:tcMar>
            <w:vAlign w:val="bottom"/>
          </w:tcPr>
          <w:p>
            <w:pPr>
              <w:pStyle w:val="TableContents"/>
              <w:spacing w:before="0" w:after="283"/>
              <w:rPr/>
            </w:pPr>
            <w:r>
              <w:rPr/>
              <w:t>  </w:t>
            </w:r>
          </w:p>
        </w:tc>
        <w:tc>
          <w:tcPr>
            <w:tcW w:w="210" w:type="dxa"/>
            <w:tcBorders>
              <w:bottom w:val="single" w:sz="2" w:space="0" w:color="999999"/>
            </w:tcBorders>
            <w:shd w:fill="auto" w:val="clear"/>
            <w:tcMar>
              <w:bottom w:w="28" w:type="dxa"/>
            </w:tcMar>
            <w:vAlign w:val="bottom"/>
          </w:tcPr>
          <w:p>
            <w:pPr>
              <w:pStyle w:val="TableContents"/>
              <w:spacing w:before="0" w:after="283"/>
              <w:rPr>
                <w:rFonts w:ascii="ARIAL" w:hAnsi="ARIAL"/>
              </w:rPr>
            </w:pPr>
            <w:r>
              <w:rPr>
                <w:rFonts w:ascii="ARIAL" w:hAnsi="ARIAL"/>
              </w:rPr>
              <w:t>$</w:t>
            </w:r>
          </w:p>
        </w:tc>
        <w:tc>
          <w:tcPr>
            <w:tcW w:w="1250" w:type="dxa"/>
            <w:tcBorders>
              <w:bottom w:val="single" w:sz="2" w:space="0" w:color="999999"/>
            </w:tcBorders>
            <w:shd w:fill="auto" w:val="clear"/>
            <w:tcMar>
              <w:bottom w:w="28" w:type="dxa"/>
            </w:tcMar>
            <w:vAlign w:val="bottom"/>
          </w:tcPr>
          <w:p>
            <w:pPr>
              <w:pStyle w:val="TableContents"/>
              <w:spacing w:before="0" w:after="283"/>
              <w:jc w:val="right"/>
              <w:rPr>
                <w:rFonts w:ascii="ARIAL" w:hAnsi="ARIAL"/>
              </w:rPr>
            </w:pPr>
            <w:r>
              <w:rPr>
                <w:rFonts w:ascii="ARIAL" w:hAnsi="ARIAL"/>
              </w:rPr>
              <w:t>3 </w:t>
            </w:r>
          </w:p>
        </w:tc>
        <w:tc>
          <w:tcPr>
            <w:tcW w:w="146" w:type="dxa"/>
            <w:tcBorders>
              <w:bottom w:val="single" w:sz="2" w:space="0" w:color="999999"/>
            </w:tcBorders>
            <w:shd w:fill="auto" w:val="clear"/>
            <w:tcMar>
              <w:bottom w:w="28" w:type="dxa"/>
            </w:tcMar>
            <w:vAlign w:val="bottom"/>
          </w:tcPr>
          <w:p>
            <w:pPr>
              <w:pStyle w:val="TableContents"/>
              <w:spacing w:before="0" w:after="283"/>
              <w:rPr>
                <w:sz w:val="4"/>
                <w:szCs w:val="4"/>
              </w:rPr>
            </w:pPr>
            <w:r>
              <w:rPr>
                <w:sz w:val="4"/>
                <w:szCs w:val="4"/>
              </w:rPr>
            </w:r>
          </w:p>
        </w:tc>
      </w:tr>
      <w:tr>
        <w:trPr/>
        <w:tc>
          <w:tcPr>
            <w:tcW w:w="5457" w:type="dxa"/>
            <w:tcBorders>
              <w:bottom w:val="single" w:sz="2" w:space="0" w:color="00548B"/>
            </w:tcBorders>
            <w:shd w:fill="auto" w:val="clear"/>
            <w:tcMar>
              <w:bottom w:w="28" w:type="dxa"/>
            </w:tcMar>
          </w:tcPr>
          <w:p>
            <w:pPr>
              <w:pStyle w:val="TableContents"/>
              <w:spacing w:before="0" w:after="0"/>
              <w:rPr>
                <w:rFonts w:ascii="arial" w:hAnsi="arial"/>
                <w:b/>
                <w:sz w:val="18"/>
              </w:rPr>
            </w:pPr>
            <w:r>
              <w:rPr>
                <w:rFonts w:ascii="arial" w:hAnsi="arial"/>
                <w:b/>
                <w:sz w:val="18"/>
              </w:rPr>
              <w:t>Total</w:t>
            </w:r>
          </w:p>
        </w:tc>
        <w:tc>
          <w:tcPr>
            <w:tcW w:w="120" w:type="dxa"/>
            <w:tcBorders>
              <w:bottom w:val="single" w:sz="2" w:space="0" w:color="00548B"/>
            </w:tcBorders>
            <w:shd w:fill="auto" w:val="clear"/>
            <w:tcMar>
              <w:bottom w:w="28" w:type="dxa"/>
            </w:tcMar>
            <w:vAlign w:val="bottom"/>
          </w:tcPr>
          <w:p>
            <w:pPr>
              <w:pStyle w:val="TableContents"/>
              <w:spacing w:before="0" w:after="283"/>
              <w:rPr/>
            </w:pPr>
            <w:r>
              <w:rPr/>
              <w:t>  </w:t>
            </w:r>
          </w:p>
        </w:tc>
        <w:tc>
          <w:tcPr>
            <w:tcW w:w="210" w:type="dxa"/>
            <w:tcBorders>
              <w:bottom w:val="single" w:sz="2" w:space="0" w:color="00548B"/>
            </w:tcBorders>
            <w:shd w:fill="auto" w:val="clear"/>
            <w:tcMar>
              <w:bottom w:w="28" w:type="dxa"/>
            </w:tcMar>
            <w:vAlign w:val="bottom"/>
          </w:tcPr>
          <w:p>
            <w:pPr>
              <w:pStyle w:val="TableContents"/>
              <w:spacing w:before="0" w:after="283"/>
              <w:rPr>
                <w:rFonts w:ascii="ARIAL" w:hAnsi="ARIAL"/>
                <w:b/>
              </w:rPr>
            </w:pPr>
            <w:r>
              <w:rPr>
                <w:rFonts w:ascii="ARIAL" w:hAnsi="ARIAL"/>
                <w:b/>
              </w:rPr>
              <w:t>$</w:t>
            </w:r>
          </w:p>
        </w:tc>
        <w:tc>
          <w:tcPr>
            <w:tcW w:w="1250" w:type="dxa"/>
            <w:tcBorders>
              <w:bottom w:val="single" w:sz="2" w:space="0" w:color="00548B"/>
            </w:tcBorders>
            <w:shd w:fill="auto" w:val="clear"/>
            <w:tcMar>
              <w:bottom w:w="28" w:type="dxa"/>
            </w:tcMar>
            <w:vAlign w:val="bottom"/>
          </w:tcPr>
          <w:p>
            <w:pPr>
              <w:pStyle w:val="TableContents"/>
              <w:spacing w:before="0" w:after="283"/>
              <w:jc w:val="right"/>
              <w:rPr/>
            </w:pPr>
            <w:r>
              <w:rPr/>
              <w:t>    </w:t>
            </w:r>
            <w:r>
              <w:rPr>
                <w:rFonts w:ascii="ARIAL" w:hAnsi="ARIAL"/>
                <w:b/>
              </w:rPr>
              <w:t>2,216 </w:t>
            </w:r>
          </w:p>
        </w:tc>
        <w:tc>
          <w:tcPr>
            <w:tcW w:w="141" w:type="dxa"/>
            <w:tcBorders>
              <w:bottom w:val="single" w:sz="2" w:space="0" w:color="00548B"/>
            </w:tcBorders>
            <w:shd w:fill="auto" w:val="clear"/>
            <w:tcMar>
              <w:bottom w:w="28" w:type="dxa"/>
            </w:tcMar>
            <w:vAlign w:val="bottom"/>
          </w:tcPr>
          <w:p>
            <w:pPr>
              <w:pStyle w:val="TableContents"/>
              <w:spacing w:before="0" w:after="283"/>
              <w:rPr>
                <w:sz w:val="4"/>
                <w:szCs w:val="4"/>
              </w:rPr>
            </w:pPr>
            <w:r>
              <w:rPr>
                <w:sz w:val="4"/>
                <w:szCs w:val="4"/>
              </w:rPr>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60" w:type="dxa"/>
            <w:tcBorders>
              <w:bottom w:val="single" w:sz="2" w:space="0" w:color="00548B"/>
            </w:tcBorders>
            <w:shd w:fill="auto" w:val="clear"/>
            <w:tcMar>
              <w:bottom w:w="28" w:type="dxa"/>
            </w:tcMar>
            <w:vAlign w:val="bottom"/>
          </w:tcPr>
          <w:p>
            <w:pPr>
              <w:pStyle w:val="TableContents"/>
              <w:spacing w:before="0" w:after="283"/>
              <w:rPr/>
            </w:pPr>
            <w:r>
              <w:rPr/>
              <w:t> </w:t>
            </w:r>
          </w:p>
        </w:tc>
        <w:tc>
          <w:tcPr>
            <w:tcW w:w="195" w:type="dxa"/>
            <w:tcBorders>
              <w:bottom w:val="single" w:sz="2" w:space="0" w:color="00548B"/>
            </w:tcBorders>
            <w:shd w:fill="auto" w:val="clear"/>
            <w:tcMar>
              <w:bottom w:w="28" w:type="dxa"/>
            </w:tcMar>
            <w:vAlign w:val="bottom"/>
          </w:tcPr>
          <w:p>
            <w:pPr>
              <w:pStyle w:val="TableContents"/>
              <w:spacing w:before="0" w:after="283"/>
              <w:rPr/>
            </w:pPr>
            <w:r>
              <w:rPr/>
              <w:t> </w:t>
            </w:r>
          </w:p>
        </w:tc>
        <w:tc>
          <w:tcPr>
            <w:tcW w:w="229" w:type="dxa"/>
            <w:tcBorders>
              <w:bottom w:val="single" w:sz="2" w:space="0" w:color="00548B"/>
            </w:tcBorders>
            <w:shd w:fill="auto" w:val="clear"/>
            <w:tcMar>
              <w:bottom w:w="28" w:type="dxa"/>
            </w:tcMar>
            <w:vAlign w:val="bottom"/>
          </w:tcPr>
          <w:p>
            <w:pPr>
              <w:pStyle w:val="TableContents"/>
              <w:spacing w:before="0" w:after="283"/>
              <w:rPr/>
            </w:pPr>
            <w:r>
              <w:rPr/>
              <w:t>  </w:t>
            </w:r>
          </w:p>
        </w:tc>
        <w:tc>
          <w:tcPr>
            <w:tcW w:w="210" w:type="dxa"/>
            <w:tcBorders>
              <w:bottom w:val="single" w:sz="2" w:space="0" w:color="00548B"/>
            </w:tcBorders>
            <w:shd w:fill="auto" w:val="clear"/>
            <w:tcMar>
              <w:bottom w:w="28" w:type="dxa"/>
            </w:tcMar>
            <w:vAlign w:val="bottom"/>
          </w:tcPr>
          <w:p>
            <w:pPr>
              <w:pStyle w:val="TableContents"/>
              <w:spacing w:before="0" w:after="283"/>
              <w:rPr>
                <w:rFonts w:ascii="ARIAL" w:hAnsi="ARIAL"/>
                <w:b/>
              </w:rPr>
            </w:pPr>
            <w:r>
              <w:rPr>
                <w:rFonts w:ascii="ARIAL" w:hAnsi="ARIAL"/>
                <w:b/>
              </w:rPr>
              <w:t>$</w:t>
            </w:r>
          </w:p>
        </w:tc>
        <w:tc>
          <w:tcPr>
            <w:tcW w:w="1250" w:type="dxa"/>
            <w:tcBorders>
              <w:bottom w:val="single" w:sz="2" w:space="0" w:color="00548B"/>
            </w:tcBorders>
            <w:shd w:fill="auto" w:val="clear"/>
            <w:tcMar>
              <w:bottom w:w="28" w:type="dxa"/>
            </w:tcMar>
            <w:vAlign w:val="bottom"/>
          </w:tcPr>
          <w:p>
            <w:pPr>
              <w:pStyle w:val="TableContents"/>
              <w:spacing w:before="0" w:after="283"/>
              <w:jc w:val="right"/>
              <w:rPr/>
            </w:pPr>
            <w:r>
              <w:rPr/>
              <w:t>    </w:t>
            </w:r>
            <w:r>
              <w:rPr>
                <w:rFonts w:ascii="ARIAL" w:hAnsi="ARIAL"/>
                <w:b/>
              </w:rPr>
              <w:t>1,813 </w:t>
            </w:r>
          </w:p>
        </w:tc>
        <w:tc>
          <w:tcPr>
            <w:tcW w:w="146" w:type="dxa"/>
            <w:tcBorders>
              <w:bottom w:val="single" w:sz="2" w:space="0" w:color="00548B"/>
            </w:tcBorders>
            <w:shd w:fill="auto" w:val="clear"/>
            <w:tcMar>
              <w:bottom w:w="28" w:type="dxa"/>
            </w:tcMar>
            <w:vAlign w:val="bottom"/>
          </w:tcPr>
          <w:p>
            <w:pPr>
              <w:pStyle w:val="TableContents"/>
              <w:spacing w:before="0" w:after="283"/>
              <w:rPr>
                <w:sz w:val="4"/>
                <w:szCs w:val="4"/>
              </w:rPr>
            </w:pPr>
            <w:r>
              <w:rPr>
                <w:sz w:val="4"/>
                <w:szCs w:val="4"/>
              </w:rPr>
            </w:r>
          </w:p>
        </w:tc>
      </w:tr>
    </w:tbl>
    <w:p>
      <w:pPr>
        <w:pStyle w:val="TextBody"/>
        <w:spacing w:before="200" w:after="0"/>
        <w:jc w:val="both"/>
        <w:rPr>
          <w:rFonts w:ascii="arial" w:hAnsi="arial"/>
          <w:sz w:val="18"/>
        </w:rPr>
      </w:pPr>
      <w:r>
        <w:rPr>
          <w:rFonts w:ascii="arial" w:hAnsi="arial"/>
          <w:i/>
          <w:sz w:val="18"/>
        </w:rPr>
        <w:t>Audit Fees</w:t>
      </w:r>
      <w:r>
        <w:rPr>
          <w:rFonts w:ascii="arial" w:hAnsi="arial"/>
          <w:sz w:val="18"/>
        </w:rPr>
        <w:t xml:space="preserve">all services, including tax services and accounting consultation, necessary to perform an audit of the consolidated financial statements of Huron; services in connection with statutory and regulatory filings or engagements, comfort letters, statutory audits, attest services and consents; and assistance with and review of documents filed with the SEC. </w:t>
      </w:r>
    </w:p>
    <w:p>
      <w:pPr>
        <w:pStyle w:val="TextBody"/>
        <w:spacing w:before="200" w:after="0"/>
        <w:jc w:val="both"/>
        <w:rPr>
          <w:rFonts w:ascii="arial" w:hAnsi="arial"/>
          <w:sz w:val="18"/>
        </w:rPr>
      </w:pPr>
      <w:r>
        <w:rPr>
          <w:rFonts w:ascii="arial" w:hAnsi="arial"/>
          <w:i/>
          <w:sz w:val="18"/>
        </w:rPr>
        <w:t>Audit-Related Fees</w:t>
      </w:r>
      <w:r>
        <w:rPr>
          <w:rFonts w:ascii="arial" w:hAnsi="arial"/>
          <w:sz w:val="18"/>
        </w:rPr>
        <w:t xml:space="preserve">attest services that are not required by statute or regulations. </w:t>
      </w:r>
    </w:p>
    <w:p>
      <w:pPr>
        <w:pStyle w:val="TextBody"/>
        <w:spacing w:before="200" w:after="0"/>
        <w:jc w:val="both"/>
        <w:rPr>
          <w:rFonts w:ascii="arial" w:hAnsi="arial"/>
          <w:sz w:val="18"/>
        </w:rPr>
      </w:pPr>
      <w:r>
        <w:rPr>
          <w:rFonts w:ascii="arial" w:hAnsi="arial"/>
          <w:i/>
          <w:sz w:val="18"/>
        </w:rPr>
        <w:t>Tax Fees</w:t>
      </w:r>
      <w:r>
        <w:rPr>
          <w:rFonts w:ascii="arial" w:hAnsi="arial"/>
          <w:sz w:val="18"/>
        </w:rPr>
        <w:t xml:space="preserve">tax compliance (review of original and amended tax returns, claims for refund and tax payment-planning services); tax planning; and other tax advice (assistance with tax audits and appeals, tax advice related to structural matters, and requests for rulings or technical advice from taxing authorities). </w:t>
      </w:r>
    </w:p>
    <w:p>
      <w:pPr>
        <w:pStyle w:val="TextBody"/>
        <w:spacing w:before="200" w:after="0"/>
        <w:jc w:val="both"/>
        <w:rPr>
          <w:rFonts w:ascii="arial" w:hAnsi="arial"/>
          <w:sz w:val="18"/>
        </w:rPr>
      </w:pPr>
      <w:r>
        <w:rPr>
          <w:rFonts w:ascii="arial" w:hAnsi="arial"/>
          <w:i/>
          <w:sz w:val="18"/>
        </w:rPr>
        <w:t>All Other Fees</w:t>
      </w:r>
      <w:r>
        <w:rPr>
          <w:rFonts w:ascii="arial" w:hAnsi="arial"/>
          <w:sz w:val="18"/>
        </w:rPr>
        <w:t xml:space="preserve">any other work that is not audit, audit-related or a tax service. In 2020, $315,000 in fees were incurred for consultation and internal control reviews related to the implementation of a new cloud-based enterprise resource planning system.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57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sz w:val="18"/>
        </w:rPr>
      </w:pPr>
      <w:r>
        <w:rPr>
          <w:rFonts w:ascii="arial" w:hAnsi="arial"/>
          <w:sz w:val="18"/>
        </w:rPr>
        <w:t xml:space="preserve">The Audit Committee considers whether the provision of these services is compatible with maintaining the independence of the independent registered public accounting firm and has determined such services for fiscal 2020 and 2019 were compatible. </w:t>
      </w:r>
    </w:p>
    <w:p>
      <w:pPr>
        <w:pStyle w:val="TextBody"/>
        <w:spacing w:before="200" w:after="0"/>
        <w:jc w:val="both"/>
        <w:rPr>
          <w:rFonts w:ascii="arial" w:hAnsi="arial"/>
          <w:b/>
          <w:color w:val="00548B"/>
          <w:sz w:val="20"/>
        </w:rPr>
      </w:pPr>
      <w:bookmarkStart w:id="38" w:name="toc170561_36"/>
      <w:bookmarkEnd w:id="38"/>
      <w:r>
        <w:rPr>
          <w:rFonts w:ascii="arial" w:hAnsi="arial"/>
          <w:b/>
          <w:color w:val="00548B"/>
          <w:sz w:val="20"/>
        </w:rPr>
        <w:t>P</w:t>
      </w:r>
      <w:r>
        <w:rPr>
          <w:rFonts w:ascii="arial" w:hAnsi="arial"/>
          <w:b/>
          <w:color w:val="00548B"/>
          <w:sz w:val="14"/>
        </w:rPr>
        <w:t>OLICY</w:t>
      </w:r>
      <w:r>
        <w:rPr>
          <w:rFonts w:ascii="arial" w:hAnsi="arial"/>
          <w:b/>
          <w:color w:val="00548B"/>
          <w:sz w:val="20"/>
        </w:rPr>
        <w:t xml:space="preserve"> </w:t>
      </w:r>
      <w:r>
        <w:rPr>
          <w:rFonts w:ascii="arial" w:hAnsi="arial"/>
          <w:b/>
          <w:color w:val="00548B"/>
          <w:sz w:val="14"/>
        </w:rPr>
        <w:t>ON</w:t>
      </w:r>
      <w:r>
        <w:rPr>
          <w:rFonts w:ascii="arial" w:hAnsi="arial"/>
          <w:b/>
          <w:color w:val="00548B"/>
          <w:sz w:val="20"/>
        </w:rPr>
        <w:t xml:space="preserve"> A</w:t>
      </w:r>
      <w:r>
        <w:rPr>
          <w:rFonts w:ascii="arial" w:hAnsi="arial"/>
          <w:b/>
          <w:color w:val="00548B"/>
          <w:sz w:val="14"/>
        </w:rPr>
        <w:t>UDIT</w:t>
      </w:r>
      <w:r>
        <w:rPr>
          <w:rFonts w:ascii="arial" w:hAnsi="arial"/>
          <w:b/>
          <w:color w:val="00548B"/>
          <w:sz w:val="20"/>
        </w:rPr>
        <w:t xml:space="preserve"> C</w:t>
      </w:r>
      <w:r>
        <w:rPr>
          <w:rFonts w:ascii="arial" w:hAnsi="arial"/>
          <w:b/>
          <w:color w:val="00548B"/>
          <w:sz w:val="14"/>
        </w:rPr>
        <w:t>OMMITTEE</w:t>
      </w:r>
      <w:r>
        <w:rPr>
          <w:rFonts w:ascii="arial" w:hAnsi="arial"/>
          <w:b/>
          <w:color w:val="00548B"/>
          <w:sz w:val="20"/>
        </w:rPr>
        <w:t xml:space="preserve"> P</w:t>
      </w:r>
      <w:r>
        <w:rPr>
          <w:rFonts w:ascii="arial" w:hAnsi="arial"/>
          <w:b/>
          <w:color w:val="00548B"/>
          <w:sz w:val="14"/>
        </w:rPr>
        <w:t>REAPPROVAL</w:t>
      </w:r>
      <w:r>
        <w:rPr>
          <w:rFonts w:ascii="arial" w:hAnsi="arial"/>
          <w:b/>
          <w:color w:val="00548B"/>
          <w:sz w:val="20"/>
        </w:rPr>
        <w:t xml:space="preserve"> </w:t>
      </w:r>
      <w:r>
        <w:rPr>
          <w:rFonts w:ascii="arial" w:hAnsi="arial"/>
          <w:b/>
          <w:color w:val="00548B"/>
          <w:sz w:val="14"/>
        </w:rPr>
        <w:t>OF</w:t>
      </w:r>
      <w:r>
        <w:rPr>
          <w:rFonts w:ascii="arial" w:hAnsi="arial"/>
          <w:b/>
          <w:color w:val="00548B"/>
          <w:sz w:val="20"/>
        </w:rPr>
        <w:t xml:space="preserve"> A</w:t>
      </w:r>
      <w:r>
        <w:rPr>
          <w:rFonts w:ascii="arial" w:hAnsi="arial"/>
          <w:b/>
          <w:color w:val="00548B"/>
          <w:sz w:val="14"/>
        </w:rPr>
        <w:t>UDIT</w:t>
      </w:r>
      <w:r>
        <w:rPr>
          <w:rFonts w:ascii="arial" w:hAnsi="arial"/>
          <w:b/>
          <w:color w:val="00548B"/>
          <w:sz w:val="20"/>
        </w:rPr>
        <w:t xml:space="preserve"> </w:t>
      </w:r>
      <w:r>
        <w:rPr>
          <w:rFonts w:ascii="arial" w:hAnsi="arial"/>
          <w:b/>
          <w:color w:val="00548B"/>
          <w:sz w:val="14"/>
        </w:rPr>
        <w:t>AND</w:t>
      </w:r>
      <w:r>
        <w:rPr>
          <w:rFonts w:ascii="arial" w:hAnsi="arial"/>
          <w:b/>
          <w:color w:val="00548B"/>
          <w:sz w:val="20"/>
        </w:rPr>
        <w:t xml:space="preserve"> N</w:t>
      </w:r>
      <w:r>
        <w:rPr>
          <w:rFonts w:ascii="arial" w:hAnsi="arial"/>
          <w:b/>
          <w:color w:val="00548B"/>
          <w:sz w:val="14"/>
        </w:rPr>
        <w:t>ON</w:t>
      </w:r>
      <w:r>
        <w:rPr>
          <w:rFonts w:ascii="arial" w:hAnsi="arial"/>
          <w:b/>
          <w:color w:val="00548B"/>
          <w:sz w:val="20"/>
        </w:rPr>
        <w:t>-A</w:t>
      </w:r>
      <w:r>
        <w:rPr>
          <w:rFonts w:ascii="arial" w:hAnsi="arial"/>
          <w:b/>
          <w:color w:val="00548B"/>
          <w:sz w:val="14"/>
        </w:rPr>
        <w:t>UDIT</w:t>
      </w:r>
      <w:r>
        <w:rPr>
          <w:rFonts w:ascii="arial" w:hAnsi="arial"/>
          <w:b/>
          <w:color w:val="00548B"/>
          <w:sz w:val="20"/>
        </w:rPr>
        <w:t xml:space="preserve"> S</w:t>
      </w:r>
      <w:r>
        <w:rPr>
          <w:rFonts w:ascii="arial" w:hAnsi="arial"/>
          <w:b/>
          <w:color w:val="00548B"/>
          <w:sz w:val="14"/>
        </w:rPr>
        <w:t>ERVICES</w:t>
      </w:r>
      <w:r>
        <w:rPr>
          <w:rFonts w:ascii="arial" w:hAnsi="arial"/>
          <w:b/>
          <w:color w:val="00548B"/>
          <w:sz w:val="20"/>
        </w:rPr>
        <w:t xml:space="preserve"> </w:t>
      </w:r>
      <w:r>
        <w:rPr>
          <w:rFonts w:ascii="arial" w:hAnsi="arial"/>
          <w:b/>
          <w:color w:val="00548B"/>
          <w:sz w:val="14"/>
        </w:rPr>
        <w:t>OF</w:t>
      </w:r>
      <w:r>
        <w:rPr>
          <w:rFonts w:ascii="arial" w:hAnsi="arial"/>
          <w:b/>
          <w:color w:val="00548B"/>
          <w:sz w:val="20"/>
        </w:rPr>
        <w:t xml:space="preserve"> I</w:t>
      </w:r>
      <w:r>
        <w:rPr>
          <w:rFonts w:ascii="arial" w:hAnsi="arial"/>
          <w:b/>
          <w:color w:val="00548B"/>
          <w:sz w:val="14"/>
        </w:rPr>
        <w:t>NDEPENDENT</w:t>
      </w:r>
      <w:r>
        <w:rPr>
          <w:rFonts w:ascii="arial" w:hAnsi="arial"/>
          <w:b/>
          <w:color w:val="00548B"/>
          <w:sz w:val="20"/>
        </w:rPr>
        <w:t xml:space="preserve"> R</w:t>
      </w:r>
      <w:r>
        <w:rPr>
          <w:rFonts w:ascii="arial" w:hAnsi="arial"/>
          <w:b/>
          <w:color w:val="00548B"/>
          <w:sz w:val="14"/>
        </w:rPr>
        <w:t>EGISTERED</w:t>
      </w:r>
      <w:r>
        <w:rPr>
          <w:rFonts w:ascii="arial" w:hAnsi="arial"/>
          <w:b/>
          <w:color w:val="00548B"/>
          <w:sz w:val="20"/>
        </w:rPr>
        <w:t xml:space="preserve"> P</w:t>
      </w:r>
      <w:r>
        <w:rPr>
          <w:rFonts w:ascii="arial" w:hAnsi="arial"/>
          <w:b/>
          <w:color w:val="00548B"/>
          <w:sz w:val="14"/>
        </w:rPr>
        <w:t>UBLIC</w:t>
      </w:r>
      <w:r>
        <w:rPr>
          <w:rFonts w:ascii="arial" w:hAnsi="arial"/>
          <w:b/>
          <w:color w:val="00548B"/>
          <w:sz w:val="20"/>
        </w:rPr>
        <w:t xml:space="preserve"> A</w:t>
      </w:r>
      <w:r>
        <w:rPr>
          <w:rFonts w:ascii="arial" w:hAnsi="arial"/>
          <w:b/>
          <w:color w:val="00548B"/>
          <w:sz w:val="14"/>
        </w:rPr>
        <w:t>CCOUNTING</w:t>
      </w:r>
      <w:r>
        <w:rPr>
          <w:rFonts w:ascii="arial" w:hAnsi="arial"/>
          <w:b/>
          <w:color w:val="00548B"/>
          <w:sz w:val="20"/>
        </w:rPr>
        <w:t xml:space="preserve"> F</w:t>
      </w:r>
      <w:r>
        <w:rPr>
          <w:rFonts w:ascii="arial" w:hAnsi="arial"/>
          <w:b/>
          <w:color w:val="00548B"/>
          <w:sz w:val="14"/>
        </w:rPr>
        <w:t>IRM</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Audit Committee is responsible for appointing, setting compensation and overseeing the work of the independent registered public accounting firm. The Audit Committee has established a policy regarding preapproval of all audit and non-audit services provided by the independent registered public accounting firm. </w:t>
      </w:r>
    </w:p>
    <w:p>
      <w:pPr>
        <w:pStyle w:val="TextBody"/>
        <w:spacing w:before="200" w:after="0"/>
        <w:jc w:val="both"/>
        <w:rPr>
          <w:rFonts w:ascii="arial" w:hAnsi="arial"/>
          <w:sz w:val="18"/>
        </w:rPr>
      </w:pPr>
      <w:r>
        <w:rPr>
          <w:rFonts w:ascii="arial" w:hAnsi="arial"/>
          <w:sz w:val="18"/>
        </w:rPr>
        <w:t xml:space="preserve">The Audit Committee, on a periodic basis, determines certain services that have the general preapproval of the Committee. The Audit Committee must separately preapprove any services not receiving such general preapproval. Requests for such approval must be submitted by both the independent registered public accounting firm and the CFO and must include a joint statement as to whether, in their view, the request is consistent with the SECs rules on auditor independence. As appropriate, the Audit Committee then pre-approves the services and the related estimated fees. The Audit Committee will establish preapproved fee levels for all services to be provided by the independent registered public accounting firm. On a periodic basis, the CFO and the independent registered public accounting firm report to the Audit Committee regarding the actual spending for such projects and services compared to the approved amounts. </w:t>
      </w:r>
    </w:p>
    <w:p>
      <w:pPr>
        <w:pStyle w:val="TextBody"/>
        <w:spacing w:before="200" w:after="0"/>
        <w:jc w:val="both"/>
        <w:rPr>
          <w:rFonts w:ascii="arial" w:hAnsi="arial"/>
          <w:b/>
          <w:color w:val="00548B"/>
          <w:sz w:val="20"/>
        </w:rPr>
      </w:pPr>
      <w:bookmarkStart w:id="39" w:name="toc170561_37"/>
      <w:bookmarkEnd w:id="39"/>
      <w:r>
        <w:rPr>
          <w:rFonts w:ascii="arial" w:hAnsi="arial"/>
          <w:b/>
          <w:color w:val="00548B"/>
          <w:sz w:val="20"/>
        </w:rPr>
        <w:t>R</w:t>
      </w:r>
      <w:r>
        <w:rPr>
          <w:rFonts w:ascii="arial" w:hAnsi="arial"/>
          <w:b/>
          <w:color w:val="00548B"/>
          <w:sz w:val="14"/>
        </w:rPr>
        <w:t>EPORT</w:t>
      </w:r>
      <w:r>
        <w:rPr>
          <w:rFonts w:ascii="arial" w:hAnsi="arial"/>
          <w:b/>
          <w:color w:val="00548B"/>
          <w:sz w:val="20"/>
        </w:rPr>
        <w:t xml:space="preserve"> </w:t>
      </w:r>
      <w:r>
        <w:rPr>
          <w:rFonts w:ascii="arial" w:hAnsi="arial"/>
          <w:b/>
          <w:color w:val="00548B"/>
          <w:sz w:val="14"/>
        </w:rPr>
        <w:t>OF</w:t>
      </w:r>
      <w:r>
        <w:rPr>
          <w:rFonts w:ascii="arial" w:hAnsi="arial"/>
          <w:b/>
          <w:color w:val="00548B"/>
          <w:sz w:val="20"/>
        </w:rPr>
        <w:t xml:space="preserve"> </w:t>
      </w:r>
      <w:r>
        <w:rPr>
          <w:rFonts w:ascii="arial" w:hAnsi="arial"/>
          <w:b/>
          <w:color w:val="00548B"/>
          <w:sz w:val="14"/>
        </w:rPr>
        <w:t>THE</w:t>
      </w:r>
      <w:r>
        <w:rPr>
          <w:rFonts w:ascii="arial" w:hAnsi="arial"/>
          <w:b/>
          <w:color w:val="00548B"/>
          <w:sz w:val="20"/>
        </w:rPr>
        <w:t xml:space="preserve"> A</w:t>
      </w:r>
      <w:r>
        <w:rPr>
          <w:rFonts w:ascii="arial" w:hAnsi="arial"/>
          <w:b/>
          <w:color w:val="00548B"/>
          <w:sz w:val="14"/>
        </w:rPr>
        <w:t>UDIT</w:t>
      </w:r>
      <w:r>
        <w:rPr>
          <w:rFonts w:ascii="arial" w:hAnsi="arial"/>
          <w:b/>
          <w:color w:val="00548B"/>
          <w:sz w:val="20"/>
        </w:rPr>
        <w:t xml:space="preserve"> C</w:t>
      </w:r>
      <w:r>
        <w:rPr>
          <w:rFonts w:ascii="arial" w:hAnsi="arial"/>
          <w:b/>
          <w:color w:val="00548B"/>
          <w:sz w:val="14"/>
        </w:rPr>
        <w:t>OMMITTEE</w:t>
      </w:r>
      <w:r>
        <w:rPr>
          <w:rFonts w:ascii="arial" w:hAnsi="arial"/>
          <w:b/>
          <w:color w:val="00548B"/>
          <w:sz w:val="20"/>
        </w:rPr>
        <w:t xml:space="preserve"> </w:t>
      </w:r>
    </w:p>
    <w:p>
      <w:pPr>
        <w:pStyle w:val="TextBody"/>
        <w:spacing w:before="0" w:after="0"/>
        <w:jc w:val="both"/>
        <w:rPr>
          <w:rFonts w:ascii="arial" w:hAnsi="arial"/>
          <w:sz w:val="18"/>
        </w:rPr>
      </w:pPr>
      <w:r>
        <w:rPr>
          <w:rFonts w:ascii="arial" w:hAnsi="arial"/>
          <w:sz w:val="18"/>
        </w:rPr>
        <w:t xml:space="preserve">The primary purpose of the Audit Committee is to assist the board of directors in its general oversight of the Companys financial reporting process. The Audit Committee conducted its oversight activities for Huron Consulting Group Inc. and subsidiaries (Huron) in accordance with the duties and responsibilities outlined in the Audit Committee charter. </w:t>
      </w:r>
    </w:p>
    <w:p>
      <w:pPr>
        <w:pStyle w:val="TextBody"/>
        <w:spacing w:before="200" w:after="0"/>
        <w:jc w:val="both"/>
        <w:rPr>
          <w:rFonts w:ascii="arial" w:hAnsi="arial"/>
          <w:sz w:val="18"/>
        </w:rPr>
      </w:pPr>
      <w:r>
        <w:rPr>
          <w:rFonts w:ascii="arial" w:hAnsi="arial"/>
          <w:sz w:val="18"/>
        </w:rPr>
        <w:t xml:space="preserve">Hurons management is responsible for the preparation, consistency, integrity and fair presentation of the financial statements, accounting and financial reporting principles, systems of internal control and procedures designed to ensure compliance with accounting standards, applicable laws and regulations. Hurons independent registered public accounting firm, PwC, is responsible for performing an independent audit of Hurons financial statements and the effectiveness of internal control over financial reporting. </w:t>
      </w:r>
    </w:p>
    <w:p>
      <w:pPr>
        <w:pStyle w:val="TextBody"/>
        <w:spacing w:before="200" w:after="0"/>
        <w:jc w:val="both"/>
        <w:rPr>
          <w:rFonts w:ascii="arial" w:hAnsi="arial"/>
          <w:sz w:val="18"/>
        </w:rPr>
      </w:pPr>
      <w:r>
        <w:rPr>
          <w:rFonts w:ascii="arial" w:hAnsi="arial"/>
          <w:sz w:val="18"/>
        </w:rPr>
        <w:t xml:space="preserve">The Audit Committee, with the assistance and support of Hurons management and its finance and accounting team, has fulfilled its objectives, duties and responsibilities as stipulated in the Audit Committee charter and has provided adequate and appropriate independent oversight and monitoring of Hurons systems of internal control for the fiscal year ended December 31, 2020. </w:t>
      </w:r>
    </w:p>
    <w:p>
      <w:pPr>
        <w:pStyle w:val="TextBody"/>
        <w:spacing w:before="200" w:after="0"/>
        <w:jc w:val="both"/>
        <w:rPr>
          <w:rFonts w:ascii="arial" w:hAnsi="arial"/>
          <w:sz w:val="18"/>
        </w:rPr>
      </w:pPr>
      <w:r>
        <w:rPr>
          <w:rFonts w:ascii="arial" w:hAnsi="arial"/>
          <w:sz w:val="18"/>
        </w:rPr>
        <w:t xml:space="preserve">These activities included, but were not limited to, the following for the fiscal year ended December 31, 2020: </w:t>
      </w:r>
    </w:p>
    <w:p>
      <w:pPr>
        <w:pStyle w:val="TextBody"/>
        <w:spacing w:before="0" w:after="0"/>
        <w:jc w:val="left"/>
        <w:rPr/>
      </w:pPr>
      <w:r>
        <w:rPr/>
        <w:t> </w:t>
      </w:r>
    </w:p>
    <w:tbl>
      <w:tblPr>
        <w:tblW w:w="5000" w:type="pct"/>
        <w:jc w:val="left"/>
        <w:tblInd w:w="0" w:type="dxa"/>
        <w:tblCellMar>
          <w:top w:w="0" w:type="dxa"/>
          <w:left w:w="0" w:type="dxa"/>
          <w:bottom w:w="0" w:type="dxa"/>
          <w:right w:w="0" w:type="dxa"/>
        </w:tblCellMar>
      </w:tblPr>
      <w:tblGrid>
        <w:gridCol w:w="407"/>
        <w:gridCol w:w="407"/>
        <w:gridCol w:w="9391"/>
      </w:tblGrid>
      <w:tr>
        <w:trPr/>
        <w:tc>
          <w:tcPr>
            <w:tcW w:w="407"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1" w:type="dxa"/>
            <w:tcBorders/>
            <w:shd w:fill="auto" w:val="clear"/>
          </w:tcPr>
          <w:p>
            <w:pPr>
              <w:pStyle w:val="TableContents"/>
              <w:spacing w:before="0" w:after="0"/>
              <w:jc w:val="both"/>
              <w:rPr>
                <w:rFonts w:ascii="arial" w:hAnsi="arial"/>
                <w:sz w:val="18"/>
              </w:rPr>
            </w:pPr>
            <w:r>
              <w:rPr>
                <w:rFonts w:ascii="arial" w:hAnsi="arial"/>
                <w:sz w:val="18"/>
              </w:rPr>
              <w:t xml:space="preserve">Discussed with Hurons internal auditors their continuing work in support of examination of internal controls and financial compliance controls.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Reviewed and discussed with management and PwC the audited financial statements and the quarterly financial statements for the year ended December 31, 2020. Management has the primary responsibility for such financial statements. </w:t>
            </w:r>
          </w:p>
        </w:tc>
      </w:tr>
    </w:tbl>
    <w:tbl>
      <w:tblPr>
        <w:tblW w:w="5000" w:type="pct"/>
        <w:jc w:val="left"/>
        <w:tblInd w:w="0" w:type="dxa"/>
        <w:tblCellMar>
          <w:top w:w="0" w:type="dxa"/>
          <w:left w:w="0" w:type="dxa"/>
          <w:bottom w:w="0" w:type="dxa"/>
          <w:right w:w="0" w:type="dxa"/>
        </w:tblCellMar>
      </w:tblPr>
      <w:tblGrid>
        <w:gridCol w:w="408"/>
        <w:gridCol w:w="408"/>
        <w:gridCol w:w="9389"/>
      </w:tblGrid>
      <w:tr>
        <w:trPr/>
        <w:tc>
          <w:tcPr>
            <w:tcW w:w="408" w:type="dxa"/>
            <w:tcBorders/>
            <w:shd w:fill="auto" w:val="clear"/>
            <w:vAlign w:val="center"/>
          </w:tcPr>
          <w:p>
            <w:pPr>
              <w:pStyle w:val="TableContents"/>
              <w:spacing w:before="0" w:after="283"/>
              <w:rPr/>
            </w:pPr>
            <w:r>
              <w:rPr/>
              <w:t> </w:t>
            </w:r>
          </w:p>
        </w:tc>
        <w:tc>
          <w:tcPr>
            <w:tcW w:w="408" w:type="dxa"/>
            <w:tcBorders/>
            <w:shd w:fill="auto" w:val="clear"/>
          </w:tcPr>
          <w:p>
            <w:pPr>
              <w:pStyle w:val="TableContents"/>
              <w:spacing w:before="0" w:after="283"/>
              <w:jc w:val="left"/>
              <w:rPr>
                <w:color w:val="00548B"/>
              </w:rPr>
            </w:pPr>
            <w:r>
              <w:rPr>
                <w:color w:val="00548B"/>
              </w:rPr>
              <w:t></w:t>
            </w:r>
          </w:p>
        </w:tc>
        <w:tc>
          <w:tcPr>
            <w:tcW w:w="9389" w:type="dxa"/>
            <w:tcBorders/>
            <w:shd w:fill="auto" w:val="clear"/>
          </w:tcPr>
          <w:p>
            <w:pPr>
              <w:pStyle w:val="TableContents"/>
              <w:spacing w:before="0" w:after="0"/>
              <w:jc w:val="both"/>
              <w:rPr>
                <w:rFonts w:ascii="arial" w:hAnsi="arial"/>
                <w:sz w:val="18"/>
              </w:rPr>
            </w:pPr>
            <w:r>
              <w:rPr>
                <w:rFonts w:ascii="arial" w:hAnsi="arial"/>
                <w:sz w:val="18"/>
              </w:rPr>
              <w:t xml:space="preserve">Discussed with PwC the matters requiring discussion under current auditing standards. </w:t>
            </w:r>
          </w:p>
        </w:tc>
      </w:tr>
    </w:tbl>
    <w:tbl>
      <w:tblPr>
        <w:tblW w:w="5000" w:type="pct"/>
        <w:jc w:val="left"/>
        <w:tblInd w:w="0" w:type="dxa"/>
        <w:tblCellMar>
          <w:top w:w="0" w:type="dxa"/>
          <w:left w:w="0" w:type="dxa"/>
          <w:bottom w:w="0" w:type="dxa"/>
          <w:right w:w="0" w:type="dxa"/>
        </w:tblCellMar>
      </w:tblPr>
      <w:tblGrid>
        <w:gridCol w:w="406"/>
        <w:gridCol w:w="407"/>
        <w:gridCol w:w="9392"/>
      </w:tblGrid>
      <w:tr>
        <w:trPr/>
        <w:tc>
          <w:tcPr>
            <w:tcW w:w="406" w:type="dxa"/>
            <w:tcBorders/>
            <w:shd w:fill="auto" w:val="clear"/>
            <w:vAlign w:val="center"/>
          </w:tcPr>
          <w:p>
            <w:pPr>
              <w:pStyle w:val="TableContents"/>
              <w:spacing w:before="0" w:after="283"/>
              <w:rPr/>
            </w:pPr>
            <w:r>
              <w:rPr/>
              <w:t> </w:t>
            </w:r>
          </w:p>
        </w:tc>
        <w:tc>
          <w:tcPr>
            <w:tcW w:w="407" w:type="dxa"/>
            <w:tcBorders/>
            <w:shd w:fill="auto" w:val="clear"/>
          </w:tcPr>
          <w:p>
            <w:pPr>
              <w:pStyle w:val="TableContents"/>
              <w:spacing w:before="0" w:after="283"/>
              <w:jc w:val="left"/>
              <w:rPr>
                <w:color w:val="00548B"/>
              </w:rPr>
            </w:pPr>
            <w:r>
              <w:rPr>
                <w:color w:val="00548B"/>
              </w:rPr>
              <w:t></w:t>
            </w:r>
          </w:p>
        </w:tc>
        <w:tc>
          <w:tcPr>
            <w:tcW w:w="9392" w:type="dxa"/>
            <w:tcBorders/>
            <w:shd w:fill="auto" w:val="clear"/>
          </w:tcPr>
          <w:p>
            <w:pPr>
              <w:pStyle w:val="TableContents"/>
              <w:spacing w:before="0" w:after="0"/>
              <w:jc w:val="both"/>
              <w:rPr>
                <w:rFonts w:ascii="arial" w:hAnsi="arial"/>
                <w:sz w:val="18"/>
              </w:rPr>
            </w:pPr>
            <w:r>
              <w:rPr>
                <w:rFonts w:ascii="arial" w:hAnsi="arial"/>
                <w:sz w:val="18"/>
              </w:rPr>
              <w:t xml:space="preserve">Received the written disclosures and the letter from PwC in accordance with the applicable requirements of the Public Company Accounting Oversight board regarding PwCs communications with the Audit Committee concerning independence. </w:t>
            </w:r>
          </w:p>
        </w:tc>
      </w:tr>
    </w:tbl>
    <w:p>
      <w:pPr>
        <w:pStyle w:val="TextBody"/>
        <w:spacing w:before="200" w:after="0"/>
        <w:jc w:val="both"/>
        <w:rPr>
          <w:rFonts w:ascii="arial" w:hAnsi="arial"/>
          <w:sz w:val="18"/>
        </w:rPr>
      </w:pPr>
      <w:r>
        <w:rPr>
          <w:rFonts w:ascii="arial" w:hAnsi="arial"/>
          <w:sz w:val="18"/>
        </w:rPr>
        <w:t xml:space="preserve">In reliance on the Committees review and discussions of the matters referred to above, the Audit Committee recommended to the board of directors that the audited financial statements be included in Hurons Annual Report on Form 10-K for the fiscal year ended December 31, 2020 for filing with the Securities and Exchange Commission. </w:t>
      </w:r>
    </w:p>
    <w:p>
      <w:pPr>
        <w:pStyle w:val="TextBody"/>
        <w:spacing w:before="200" w:after="0"/>
        <w:jc w:val="both"/>
        <w:rPr>
          <w:rFonts w:ascii="arial" w:hAnsi="arial"/>
          <w:sz w:val="18"/>
        </w:rPr>
      </w:pPr>
      <w:r>
        <w:rPr>
          <w:rFonts w:ascii="arial" w:hAnsi="arial"/>
          <w:sz w:val="18"/>
        </w:rPr>
        <w:t xml:space="preserve">H. Eugene Lockhart, Chairman </w:t>
      </w:r>
    </w:p>
    <w:p>
      <w:pPr>
        <w:pStyle w:val="TextBody"/>
        <w:spacing w:before="0" w:after="0"/>
        <w:jc w:val="both"/>
        <w:rPr>
          <w:rFonts w:ascii="arial" w:hAnsi="arial"/>
          <w:sz w:val="18"/>
        </w:rPr>
      </w:pPr>
      <w:r>
        <w:rPr>
          <w:rFonts w:ascii="arial" w:hAnsi="arial"/>
          <w:sz w:val="18"/>
        </w:rPr>
        <w:t xml:space="preserve">John McCartney </w:t>
      </w:r>
    </w:p>
    <w:p>
      <w:pPr>
        <w:pStyle w:val="TextBody"/>
        <w:spacing w:before="0" w:after="0"/>
        <w:jc w:val="left"/>
        <w:rPr>
          <w:rFonts w:ascii="arial" w:hAnsi="arial"/>
          <w:sz w:val="20"/>
        </w:rPr>
      </w:pPr>
      <w:r>
        <w:rPr>
          <w:rFonts w:ascii="arial" w:hAnsi="arial"/>
          <w:sz w:val="20"/>
        </w:rPr>
        <w:t xml:space="preserve">Hugh E. Sawyer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58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both"/>
        <w:rPr>
          <w:rFonts w:ascii="arial" w:hAnsi="arial"/>
          <w:b/>
          <w:color w:val="00548B"/>
          <w:sz w:val="24"/>
        </w:rPr>
      </w:pPr>
      <w:bookmarkStart w:id="40" w:name="toc170561_38"/>
      <w:bookmarkEnd w:id="40"/>
      <w:r>
        <w:rPr>
          <w:rFonts w:ascii="arial" w:hAnsi="arial"/>
          <w:b/>
          <w:color w:val="00548B"/>
          <w:sz w:val="24"/>
        </w:rPr>
        <w:t xml:space="preserve">SUBMISSION OF STOCKHOLDER PROPOSALS </w:t>
      </w:r>
    </w:p>
    <w:p>
      <w:pPr>
        <w:pStyle w:val="TextBody"/>
        <w:spacing w:before="400" w:after="0"/>
        <w:jc w:val="both"/>
        <w:rPr>
          <w:rFonts w:ascii="arial" w:hAnsi="arial"/>
          <w:sz w:val="18"/>
        </w:rPr>
      </w:pPr>
      <w:r>
        <w:rPr>
          <w:rFonts w:ascii="arial" w:hAnsi="arial"/>
          <w:sz w:val="18"/>
        </w:rPr>
        <w:t xml:space="preserve">In order to be included in the Companys proxy statement relating to its next annual meeting, stockholder proposals must be received no later than November 26, 2021 by the Corporate Secretary at the Companys principal executive offices. Pursuant to the Companys bylaws, stockholders who intend to present an item for business at the next annual meeting (other than a proposal submitted for inclusion in the Companys proxy materials) must provide notice to the Corporate Secretary no earlier than January 7, 2022 and no later than February 6, 2022. Notice of stockholder proposals must contain the information required by the Companys bylaws. The inclusion of any such proposal in such proxy material shall be subject to the requirements of the proxy rules adopted under the 1934 Act. </w:t>
      </w:r>
    </w:p>
    <w:p>
      <w:pPr>
        <w:pStyle w:val="TextBody"/>
        <w:spacing w:before="400" w:after="0"/>
        <w:jc w:val="both"/>
        <w:rPr>
          <w:rFonts w:ascii="arial" w:hAnsi="arial"/>
          <w:b/>
          <w:color w:val="00548B"/>
          <w:sz w:val="24"/>
        </w:rPr>
      </w:pPr>
      <w:bookmarkStart w:id="41" w:name="toc170561_39"/>
      <w:bookmarkEnd w:id="41"/>
      <w:r>
        <w:rPr>
          <w:rFonts w:ascii="arial" w:hAnsi="arial"/>
          <w:b/>
          <w:color w:val="00548B"/>
          <w:sz w:val="24"/>
        </w:rPr>
        <w:t xml:space="preserve">OTHER MATTERS </w:t>
      </w:r>
    </w:p>
    <w:p>
      <w:pPr>
        <w:pStyle w:val="TextBody"/>
        <w:spacing w:before="400" w:after="0"/>
        <w:jc w:val="both"/>
        <w:rPr>
          <w:rFonts w:ascii="arial" w:hAnsi="arial"/>
          <w:sz w:val="18"/>
        </w:rPr>
      </w:pPr>
      <w:r>
        <w:rPr>
          <w:rFonts w:ascii="arial" w:hAnsi="arial"/>
          <w:sz w:val="18"/>
        </w:rPr>
        <w:t xml:space="preserve">Management does not now intend to bring before the Annual Meeting any matters other than those disclosed in the Notice of Annual Meeting of Stockholders, and it does not know of any business that persons, other than management, intend to present at the meeting. Should any other matters requiring a vote of the stockholders arise, the persons named in the accompanying proxy intend to vote on those matters in accordance with their best judgment. </w:t>
      </w:r>
    </w:p>
    <w:p>
      <w:pPr>
        <w:pStyle w:val="TextBody"/>
        <w:spacing w:before="200" w:after="0"/>
        <w:jc w:val="both"/>
        <w:rPr>
          <w:rFonts w:ascii="arial" w:hAnsi="arial"/>
          <w:sz w:val="18"/>
        </w:rPr>
      </w:pPr>
      <w:r>
        <w:rPr>
          <w:rFonts w:ascii="arial" w:hAnsi="arial"/>
          <w:sz w:val="18"/>
        </w:rPr>
        <w:t xml:space="preserve">The Company will bear the cost of soliciting proxies. In addition, to the extent necessary, proxies may be solicited by directors, officers and employees of the Company in person, by telephone or through other forms of communication, but such persons will not receive any additional compensation for such solicitation. The Company will reimburse brokerage firms, banks and other custodians, nominees and fiduciaries for reasonable expenses incurred by them in sending proxy materials to the beneficial owners of the Companys shares. The Company will supply banks, brokers, dealers and other custodian nominees and fiduciaries with proxy materials to enable them to send a copy of such materials by mail to each beneficial owner of shares of the common stock that they hold of record and will, upon request, reimburse them for their reasonable expenses in so doing. </w:t>
      </w:r>
    </w:p>
    <w:p>
      <w:pPr>
        <w:pStyle w:val="TextBody"/>
        <w:spacing w:before="0" w:after="0"/>
        <w:jc w:val="left"/>
        <w:rPr/>
      </w:pPr>
      <w:r>
        <w:rPr/>
        <w:t> </w:t>
      </w:r>
    </w:p>
    <w:tbl>
      <w:tblPr>
        <w:tblW w:w="2000" w:type="pct"/>
        <w:jc w:val="right"/>
        <w:tblInd w:w="0" w:type="dxa"/>
        <w:tblCellMar>
          <w:top w:w="0" w:type="dxa"/>
          <w:left w:w="0" w:type="dxa"/>
          <w:bottom w:w="0" w:type="dxa"/>
          <w:right w:w="0" w:type="dxa"/>
        </w:tblCellMar>
      </w:tblPr>
      <w:tblGrid>
        <w:gridCol w:w="4082"/>
      </w:tblGrid>
      <w:tr>
        <w:trPr/>
        <w:tc>
          <w:tcPr>
            <w:tcW w:w="4082" w:type="dxa"/>
            <w:tcBorders/>
            <w:shd w:fill="auto" w:val="clear"/>
            <w:vAlign w:val="center"/>
          </w:tcPr>
          <w:p>
            <w:pPr>
              <w:pStyle w:val="TableContents"/>
              <w:spacing w:before="0" w:after="283"/>
              <w:rPr>
                <w:sz w:val="4"/>
                <w:szCs w:val="4"/>
              </w:rPr>
            </w:pPr>
            <w:r>
              <w:rPr>
                <w:sz w:val="4"/>
                <w:szCs w:val="4"/>
              </w:rPr>
            </w:r>
          </w:p>
        </w:tc>
      </w:tr>
      <w:tr>
        <w:trPr/>
        <w:tc>
          <w:tcPr>
            <w:tcW w:w="4082" w:type="dxa"/>
            <w:tcBorders/>
            <w:shd w:fill="auto" w:val="clear"/>
            <w:vAlign w:val="bottom"/>
          </w:tcPr>
          <w:p>
            <w:pPr>
              <w:pStyle w:val="TableContents"/>
              <w:spacing w:before="0" w:after="0"/>
              <w:jc w:val="both"/>
              <w:rPr>
                <w:rFonts w:ascii="arial" w:hAnsi="arial"/>
                <w:sz w:val="18"/>
              </w:rPr>
            </w:pPr>
            <w:r>
              <w:rPr>
                <w:rFonts w:ascii="arial" w:hAnsi="arial"/>
                <w:sz w:val="18"/>
              </w:rPr>
              <w:t>By Order of the Board of Directors</w:t>
            </w:r>
          </w:p>
        </w:tc>
      </w:tr>
      <w:tr>
        <w:trPr/>
        <w:tc>
          <w:tcPr>
            <w:tcW w:w="4082" w:type="dxa"/>
            <w:tcBorders/>
            <w:shd w:fill="auto" w:val="clear"/>
            <w:vAlign w:val="bottom"/>
          </w:tcPr>
          <w:p>
            <w:pPr>
              <w:pStyle w:val="TableContents"/>
              <w:spacing w:before="0" w:after="0"/>
              <w:rPr/>
            </w:pPr>
            <w:r>
              <w:rPr/>
              <w:t> </w:t>
            </w:r>
          </w:p>
          <w:p>
            <w:pPr>
              <w:pStyle w:val="TableContents"/>
              <w:spacing w:before="0" w:after="0"/>
              <w:rPr/>
            </w:pPr>
            <w:r>
              <w:rPr/>
              <w:drawing>
                <wp:inline distT="0" distB="0" distL="0" distR="0">
                  <wp:extent cx="151765" cy="34290"/>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embed="rId26"/>
                          <a:stretch>
                            <a:fillRect/>
                          </a:stretch>
                        </pic:blipFill>
                        <pic:spPr bwMode="auto">
                          <a:xfrm>
                            <a:off x="0" y="0"/>
                            <a:ext cx="151765" cy="34290"/>
                          </a:xfrm>
                          <a:prstGeom prst="rect">
                            <a:avLst/>
                          </a:prstGeom>
                        </pic:spPr>
                      </pic:pic>
                    </a:graphicData>
                  </a:graphic>
                </wp:inline>
              </w:drawing>
            </w:r>
            <w:r>
              <w:rPr/>
              <w:t xml:space="preserve"> </w:t>
            </w:r>
          </w:p>
          <w:p>
            <w:pPr>
              <w:pStyle w:val="TableContents"/>
              <w:spacing w:before="0" w:after="20"/>
              <w:rPr/>
            </w:pPr>
            <w:r>
              <w:rPr/>
              <w:t> </w:t>
            </w:r>
          </w:p>
        </w:tc>
      </w:tr>
      <w:tr>
        <w:trPr/>
        <w:tc>
          <w:tcPr>
            <w:tcW w:w="4082" w:type="dxa"/>
            <w:tcBorders/>
            <w:shd w:fill="auto" w:val="clear"/>
            <w:vAlign w:val="bottom"/>
          </w:tcPr>
          <w:p>
            <w:pPr>
              <w:pStyle w:val="TableContents"/>
              <w:spacing w:before="0" w:after="0"/>
              <w:jc w:val="both"/>
              <w:rPr>
                <w:rFonts w:ascii="arial" w:hAnsi="arial"/>
                <w:sz w:val="18"/>
              </w:rPr>
            </w:pPr>
            <w:r>
              <w:rPr>
                <w:rFonts w:ascii="arial" w:hAnsi="arial"/>
                <w:sz w:val="18"/>
              </w:rPr>
              <w:t>Ernest W. Torain, Jr.</w:t>
            </w:r>
          </w:p>
          <w:p>
            <w:pPr>
              <w:pStyle w:val="TableContents"/>
              <w:spacing w:before="0" w:after="20"/>
              <w:jc w:val="left"/>
              <w:rPr>
                <w:rFonts w:ascii="arial" w:hAnsi="arial"/>
                <w:i/>
                <w:sz w:val="18"/>
              </w:rPr>
            </w:pPr>
            <w:r>
              <w:rPr>
                <w:rFonts w:ascii="arial" w:hAnsi="arial"/>
                <w:i/>
                <w:sz w:val="18"/>
              </w:rPr>
              <w:t xml:space="preserve">Executive Vice President, General Counsel </w:t>
              <w:br/>
              <w:t>and Corporate Secretary</w:t>
            </w:r>
          </w:p>
        </w:tc>
      </w:tr>
    </w:tbl>
    <w:p>
      <w:pPr>
        <w:pStyle w:val="TextBody"/>
        <w:spacing w:before="200" w:after="0"/>
        <w:jc w:val="left"/>
        <w:rPr>
          <w:rFonts w:ascii="arial" w:hAnsi="arial"/>
          <w:sz w:val="20"/>
        </w:rPr>
      </w:pPr>
      <w:r>
        <w:rPr>
          <w:rFonts w:ascii="arial" w:hAnsi="arial"/>
          <w:sz w:val="20"/>
        </w:rPr>
        <w:t xml:space="preserve">Chicago, Illinois </w:t>
      </w:r>
    </w:p>
    <w:p>
      <w:pPr>
        <w:pStyle w:val="TextBody"/>
        <w:spacing w:before="0" w:after="0"/>
        <w:jc w:val="left"/>
        <w:rPr>
          <w:rFonts w:ascii="arial" w:hAnsi="arial"/>
          <w:sz w:val="20"/>
        </w:rPr>
      </w:pPr>
      <w:r>
        <w:rPr>
          <w:rFonts w:ascii="arial" w:hAnsi="arial"/>
          <w:sz w:val="20"/>
        </w:rPr>
        <w:t xml:space="preserve">March 26, 2021 </w:t>
      </w:r>
    </w:p>
    <w:p>
      <w:pPr>
        <w:pStyle w:val="TextBody"/>
        <w:spacing w:before="0" w:after="0"/>
        <w:jc w:val="left"/>
        <w:rPr/>
      </w:pPr>
      <w:r>
        <w:rPr/>
        <w:t> </w:t>
      </w:r>
    </w:p>
    <w:p>
      <w:pPr>
        <w:pStyle w:val="TextBody"/>
        <w:spacing w:before="0" w:after="0"/>
        <w:jc w:val="center"/>
        <w:rPr>
          <w:rFonts w:ascii="arial" w:hAnsi="arial"/>
          <w:color w:val="00548B"/>
          <w:sz w:val="20"/>
        </w:rPr>
      </w:pPr>
      <w:r>
        <w:rPr>
          <w:rFonts w:ascii="arial" w:hAnsi="arial"/>
          <w:color w:val="00548B"/>
          <w:sz w:val="20"/>
        </w:rPr>
        <w:t xml:space="preserve">59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p>
      <w:pPr>
        <w:pStyle w:val="TextBody"/>
        <w:spacing w:before="0" w:after="0"/>
        <w:jc w:val="left"/>
        <w:rPr>
          <w:rFonts w:ascii="arial" w:hAnsi="arial"/>
          <w:b/>
          <w:color w:val="00548B"/>
          <w:sz w:val="16"/>
        </w:rPr>
      </w:pPr>
      <w:r>
        <w:rPr>
          <w:rFonts w:ascii="arial" w:hAnsi="arial"/>
          <w:b/>
          <w:color w:val="00548B"/>
          <w:sz w:val="16"/>
        </w:rPr>
        <w:t xml:space="preserve">Appendix A </w:t>
      </w:r>
    </w:p>
    <w:p>
      <w:pPr>
        <w:pStyle w:val="TextBody"/>
        <w:spacing w:before="0" w:after="0"/>
        <w:jc w:val="left"/>
        <w:rPr>
          <w:rFonts w:ascii="arial" w:hAnsi="arial"/>
          <w:b/>
          <w:color w:val="00548B"/>
          <w:sz w:val="24"/>
        </w:rPr>
      </w:pPr>
      <w:r>
        <w:rPr>
          <w:rFonts w:ascii="arial" w:hAnsi="arial"/>
          <w:b/>
          <w:color w:val="00548B"/>
          <w:sz w:val="24"/>
        </w:rPr>
        <w:t xml:space="preserve">AMENDMENT TO THE HURON CONSULTING GROUP INC. AMENDED AND RESTATED 2012 OMNIBUS INCENTIVE PLAN </w:t>
      </w:r>
    </w:p>
    <w:p>
      <w:pPr>
        <w:pStyle w:val="TextBody"/>
        <w:spacing w:before="400" w:after="0"/>
        <w:jc w:val="both"/>
        <w:rPr>
          <w:rFonts w:ascii="arial" w:hAnsi="arial"/>
          <w:sz w:val="18"/>
        </w:rPr>
      </w:pPr>
      <w:r>
        <w:rPr>
          <w:rFonts w:ascii="arial" w:hAnsi="arial"/>
          <w:b/>
          <w:sz w:val="18"/>
        </w:rPr>
        <w:t xml:space="preserve">THIS AMENDMENT </w:t>
      </w:r>
      <w:r>
        <w:rPr>
          <w:rFonts w:ascii="arial" w:hAnsi="arial"/>
          <w:sz w:val="18"/>
        </w:rPr>
        <w:t xml:space="preserve">(this Amendment) to the Huron Consulting Group Inc. Amended and Restated 2012 Omnibus Incentive Plan, as amended from time to time, (the Plan) is adopted by the Board of Directors (the Board) of Huron Consulting Group Inc., a Delaware corporation (the Company), on March 17, 2021, effective as of the date of the Companys Annual Meeting of Stockholders that occurs in 2021, provided that it is approved by the Companys stockholders on that date (the Amendment Date). Any capitalized terms used and not defined herein shall have the meanings set forth in the Plan. </w:t>
      </w:r>
    </w:p>
    <w:p>
      <w:pPr>
        <w:pStyle w:val="TextBody"/>
        <w:spacing w:before="200" w:after="0"/>
        <w:jc w:val="both"/>
        <w:rPr>
          <w:rFonts w:ascii="arial" w:hAnsi="arial"/>
          <w:sz w:val="18"/>
        </w:rPr>
      </w:pPr>
      <w:r>
        <w:rPr>
          <w:rFonts w:ascii="arial" w:hAnsi="arial"/>
          <w:b/>
          <w:sz w:val="18"/>
        </w:rPr>
        <w:t>WHEREAS</w:t>
      </w:r>
      <w:r>
        <w:rPr>
          <w:rFonts w:ascii="arial" w:hAnsi="arial"/>
          <w:sz w:val="18"/>
        </w:rPr>
        <w:t xml:space="preserve">, pursuant to Section 16 of the Plan, the Board may at any time revise or amend the Plan, provided that no amendment to the Plan will be made without the approval of the Companys stockholders if such amendment would increase the aggregate number of shares of Common Stock that may be issued under the Plan; and </w:t>
      </w:r>
    </w:p>
    <w:p>
      <w:pPr>
        <w:pStyle w:val="TextBody"/>
        <w:spacing w:before="200" w:after="0"/>
        <w:jc w:val="both"/>
        <w:rPr>
          <w:rFonts w:ascii="arial" w:hAnsi="arial"/>
          <w:sz w:val="18"/>
        </w:rPr>
      </w:pPr>
      <w:r>
        <w:rPr>
          <w:rFonts w:ascii="arial" w:hAnsi="arial"/>
          <w:b/>
          <w:sz w:val="18"/>
        </w:rPr>
        <w:t>WHEREAS</w:t>
      </w:r>
      <w:r>
        <w:rPr>
          <w:rFonts w:ascii="arial" w:hAnsi="arial"/>
          <w:sz w:val="18"/>
        </w:rPr>
        <w:t xml:space="preserve">, the Board has determined to amend the Plan in the manner set forth below, subject to approval by the stockholders. </w:t>
      </w:r>
    </w:p>
    <w:p>
      <w:pPr>
        <w:pStyle w:val="TextBody"/>
        <w:spacing w:before="200" w:after="0"/>
        <w:jc w:val="both"/>
        <w:rPr>
          <w:rFonts w:ascii="arial" w:hAnsi="arial"/>
          <w:sz w:val="18"/>
        </w:rPr>
      </w:pPr>
      <w:r>
        <w:rPr>
          <w:rFonts w:ascii="arial" w:hAnsi="arial"/>
          <w:b/>
          <w:sz w:val="18"/>
        </w:rPr>
        <w:t>NOW, THEREFORE</w:t>
      </w:r>
      <w:r>
        <w:rPr>
          <w:rFonts w:ascii="arial" w:hAnsi="arial"/>
          <w:sz w:val="18"/>
        </w:rPr>
        <w:t xml:space="preserve">, the Plan is hereby amended as follows, subject to approval by the stockholders: </w:t>
      </w:r>
    </w:p>
    <w:p>
      <w:pPr>
        <w:pStyle w:val="TextBody"/>
        <w:spacing w:before="200" w:after="0"/>
        <w:jc w:val="both"/>
        <w:rPr>
          <w:rFonts w:ascii="arial" w:hAnsi="arial"/>
          <w:sz w:val="18"/>
        </w:rPr>
      </w:pPr>
      <w:r>
        <w:rPr>
          <w:rFonts w:ascii="arial" w:hAnsi="arial"/>
          <w:sz w:val="18"/>
        </w:rPr>
        <w:t xml:space="preserve">1. The first sentence of Section 4(b) of the Plan is hereby amended and restated in its entirety as follows: </w:t>
      </w:r>
    </w:p>
    <w:p>
      <w:pPr>
        <w:pStyle w:val="TextBody"/>
        <w:spacing w:before="200" w:after="0"/>
        <w:jc w:val="both"/>
        <w:rPr>
          <w:rFonts w:ascii="arial" w:hAnsi="arial"/>
          <w:sz w:val="18"/>
        </w:rPr>
      </w:pPr>
      <w:r>
        <w:rPr>
          <w:rFonts w:ascii="arial" w:hAnsi="arial"/>
          <w:sz w:val="18"/>
        </w:rPr>
        <w:t></w:t>
      </w:r>
      <w:r>
        <w:rPr>
          <w:rFonts w:ascii="arial" w:hAnsi="arial"/>
          <w:b/>
          <w:sz w:val="18"/>
        </w:rPr>
        <w:t>Shares Available for Awards</w:t>
      </w:r>
      <w:r>
        <w:rPr>
          <w:rFonts w:ascii="arial" w:hAnsi="arial"/>
          <w:sz w:val="18"/>
        </w:rPr>
        <w:t xml:space="preserve">. Subject to the terms and conditions of the Plan, the number of shares of Common Stock reserved for issuance under the Plan shall be 4,556,204 shares (comprised of: (i) the 1,398,204 shares of Common Stock authorized under the Plan as originally adopted, (ii) an additional 850,000 shares of Common Stock authorized in the amendment and restatement of the Plan effective May 2, 2014, (iii) an additional 804,000 shares of Common Stock authorized in the amendment and restatement of the Plan effective May 1, 2017, (iv) an additional 600,000 shares of Common Stock authorized in the amendment of the Plan effective May 3, 2019, (v) an additional 270,000 shares of Common Stock authorized in the amendment of the Plan effective May 8, 2020, and (vi) an additional 634,000 shares of Common Stock authorized in the amendment of the Plan effective May 7, 2021), subject to adjustment as provided herein. </w:t>
      </w:r>
    </w:p>
    <w:p>
      <w:pPr>
        <w:pStyle w:val="TextBody"/>
        <w:spacing w:before="200" w:after="0"/>
        <w:jc w:val="both"/>
        <w:rPr>
          <w:rFonts w:ascii="arial" w:hAnsi="arial"/>
          <w:sz w:val="18"/>
        </w:rPr>
      </w:pPr>
      <w:r>
        <w:rPr>
          <w:rFonts w:ascii="arial" w:hAnsi="arial"/>
          <w:sz w:val="18"/>
        </w:rPr>
        <w:t xml:space="preserve">2. This Amendment shall be and, as of the Amendment Date, is hereby incorporated in and forms a part of the Plan. </w:t>
      </w:r>
    </w:p>
    <w:p>
      <w:pPr>
        <w:pStyle w:val="TextBody"/>
        <w:spacing w:before="200" w:after="0"/>
        <w:jc w:val="both"/>
        <w:rPr>
          <w:rFonts w:ascii="arial" w:hAnsi="arial"/>
          <w:sz w:val="18"/>
        </w:rPr>
      </w:pPr>
      <w:r>
        <w:rPr>
          <w:rFonts w:ascii="arial" w:hAnsi="arial"/>
          <w:sz w:val="18"/>
        </w:rPr>
        <w:t xml:space="preserve">3. This Amendment and all determinations made and actions taken pursuant hereto shall be governed by the laws of the State of Delaware without reference to its principles of conflicts of law. </w:t>
      </w:r>
    </w:p>
    <w:p>
      <w:pPr>
        <w:pStyle w:val="TextBody"/>
        <w:spacing w:before="200" w:after="0"/>
        <w:jc w:val="both"/>
        <w:rPr>
          <w:rFonts w:ascii="arial" w:hAnsi="arial"/>
          <w:sz w:val="18"/>
        </w:rPr>
      </w:pPr>
      <w:r>
        <w:rPr>
          <w:rFonts w:ascii="arial" w:hAnsi="arial"/>
          <w:sz w:val="18"/>
        </w:rPr>
        <w:t xml:space="preserve">4. Except as amended above, the Plan shall remain in full force and effect. </w:t>
      </w:r>
      <w:r>
        <w:br w:type="page"/>
      </w:r>
    </w:p>
    <w:p>
      <w:pPr>
        <w:pStyle w:val="HorizontalLine"/>
        <w:pBdr>
          <w:bottom w:val="double" w:sz="6" w:space="0" w:color="808080"/>
        </w:pBdr>
        <w:rPr/>
      </w:pPr>
      <w:r>
        <w:rPr/>
      </w:r>
    </w:p>
    <w:p>
      <w:pPr>
        <w:pStyle w:val="Heading5"/>
        <w:jc w:val="left"/>
        <w:rPr/>
      </w:pPr>
      <w:hyperlink w:anchor="toc">
        <w:r>
          <w:rPr>
            <w:rStyle w:val="InternetLink"/>
          </w:rPr>
          <w:t>Table of Contents</w:t>
        </w:r>
      </w:hyperlink>
    </w:p>
    <w:tbl>
      <w:tblPr>
        <w:tblW w:w="5000" w:type="pct"/>
        <w:jc w:val="center"/>
        <w:tblInd w:w="0" w:type="dxa"/>
        <w:tblCellMar>
          <w:top w:w="0" w:type="dxa"/>
          <w:left w:w="0" w:type="dxa"/>
          <w:bottom w:w="0" w:type="dxa"/>
          <w:right w:w="0" w:type="dxa"/>
        </w:tblCellMar>
      </w:tblPr>
      <w:tblGrid>
        <w:gridCol w:w="5102"/>
        <w:gridCol w:w="101"/>
        <w:gridCol w:w="5002"/>
      </w:tblGrid>
      <w:tr>
        <w:trPr/>
        <w:tc>
          <w:tcPr>
            <w:tcW w:w="5102" w:type="dxa"/>
            <w:tcBorders/>
            <w:shd w:fill="auto" w:val="clear"/>
            <w:vAlign w:val="center"/>
          </w:tcPr>
          <w:p>
            <w:pPr>
              <w:pStyle w:val="TableContents"/>
              <w:spacing w:before="0" w:after="283"/>
              <w:rPr>
                <w:sz w:val="4"/>
                <w:szCs w:val="4"/>
              </w:rPr>
            </w:pPr>
            <w:r>
              <w:rPr>
                <w:sz w:val="4"/>
                <w:szCs w:val="4"/>
              </w:rPr>
            </w:r>
          </w:p>
        </w:tc>
        <w:tc>
          <w:tcPr>
            <w:tcW w:w="101" w:type="dxa"/>
            <w:tcBorders/>
            <w:shd w:fill="auto" w:val="clear"/>
            <w:vAlign w:val="bottom"/>
          </w:tcPr>
          <w:p>
            <w:pPr>
              <w:pStyle w:val="TableContents"/>
              <w:spacing w:before="0" w:after="283"/>
              <w:rPr>
                <w:sz w:val="4"/>
                <w:szCs w:val="4"/>
              </w:rPr>
            </w:pPr>
            <w:r>
              <w:rPr>
                <w:sz w:val="4"/>
                <w:szCs w:val="4"/>
              </w:rPr>
            </w:r>
          </w:p>
        </w:tc>
        <w:tc>
          <w:tcPr>
            <w:tcW w:w="5002" w:type="dxa"/>
            <w:tcBorders/>
            <w:shd w:fill="auto" w:val="clear"/>
            <w:vAlign w:val="center"/>
          </w:tcPr>
          <w:p>
            <w:pPr>
              <w:pStyle w:val="TableContents"/>
              <w:spacing w:before="0" w:after="283"/>
              <w:rPr>
                <w:sz w:val="4"/>
                <w:szCs w:val="4"/>
              </w:rPr>
            </w:pPr>
            <w:r>
              <w:rPr>
                <w:sz w:val="4"/>
                <w:szCs w:val="4"/>
              </w:rPr>
            </w:r>
          </w:p>
        </w:tc>
      </w:tr>
      <w:tr>
        <w:trPr/>
        <w:tc>
          <w:tcPr>
            <w:tcW w:w="5102" w:type="dxa"/>
            <w:vMerge w:val="restart"/>
            <w:tcBorders/>
            <w:shd w:fill="auto" w:val="clear"/>
          </w:tcPr>
          <w:p>
            <w:pPr>
              <w:pStyle w:val="TableContents"/>
              <w:spacing w:before="0" w:after="0"/>
              <w:rPr/>
            </w:pPr>
            <w:r>
              <w:rPr/>
              <w:t> </w:t>
            </w:r>
          </w:p>
          <w:p>
            <w:pPr>
              <w:pStyle w:val="TableContents"/>
              <w:spacing w:before="360" w:after="0"/>
              <w:rPr>
                <w:rFonts w:ascii="Times New Roman" w:hAnsi="Times New Roman"/>
                <w:i/>
                <w:sz w:val="10"/>
              </w:rPr>
            </w:pPr>
            <w:r>
              <w:rPr>
                <w:rFonts w:ascii="Times New Roman" w:hAnsi="Times New Roman"/>
                <w:i/>
                <w:sz w:val="10"/>
              </w:rPr>
              <w:t>HURON CONSULTING GROUP INC.</w:t>
            </w:r>
          </w:p>
          <w:p>
            <w:pPr>
              <w:pStyle w:val="TableContents"/>
              <w:spacing w:before="0" w:after="0"/>
              <w:rPr>
                <w:rFonts w:ascii="Times New Roman" w:hAnsi="Times New Roman"/>
                <w:i/>
                <w:sz w:val="10"/>
              </w:rPr>
            </w:pPr>
            <w:r>
              <w:rPr>
                <w:rFonts w:ascii="Times New Roman" w:hAnsi="Times New Roman"/>
                <w:i/>
                <w:sz w:val="10"/>
              </w:rPr>
              <w:t>550 W. VAN BUREN STREET, 17TH FLOOR</w:t>
            </w:r>
          </w:p>
          <w:p>
            <w:pPr>
              <w:pStyle w:val="TableContents"/>
              <w:spacing w:before="0" w:after="20"/>
              <w:rPr>
                <w:rFonts w:ascii="Times New Roman" w:hAnsi="Times New Roman"/>
                <w:i/>
                <w:sz w:val="10"/>
              </w:rPr>
            </w:pPr>
            <w:r>
              <w:rPr>
                <w:rFonts w:ascii="Times New Roman" w:hAnsi="Times New Roman"/>
                <w:i/>
                <w:sz w:val="10"/>
              </w:rPr>
              <w:t>CHICAGO, IL 60607</w:t>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0"/>
              <w:rPr>
                <w:rFonts w:ascii="Times New Roman" w:hAnsi="Times New Roman"/>
                <w:b/>
                <w:sz w:val="14"/>
              </w:rPr>
            </w:pPr>
            <w:r>
              <w:rPr>
                <w:rFonts w:ascii="Times New Roman" w:hAnsi="Times New Roman"/>
                <w:b/>
                <w:sz w:val="14"/>
              </w:rPr>
              <w:t>VOTE BY INTERNET</w:t>
            </w:r>
          </w:p>
          <w:p>
            <w:pPr>
              <w:pStyle w:val="TableContents"/>
              <w:spacing w:before="0" w:after="0"/>
              <w:rPr>
                <w:rFonts w:ascii="Times New Roman" w:hAnsi="Times New Roman"/>
                <w:sz w:val="14"/>
              </w:rPr>
            </w:pPr>
            <w:r>
              <w:rPr>
                <w:rFonts w:ascii="Times New Roman" w:hAnsi="Times New Roman"/>
                <w:i/>
                <w:sz w:val="14"/>
              </w:rPr>
              <w:t>Before The Meeting</w:t>
            </w:r>
            <w:r>
              <w:rPr>
                <w:rFonts w:ascii="Times New Roman" w:hAnsi="Times New Roman"/>
                <w:sz w:val="14"/>
              </w:rPr>
              <w:t xml:space="preserve"> - Go to </w:t>
            </w:r>
            <w:r>
              <w:rPr>
                <w:rFonts w:ascii="Times New Roman" w:hAnsi="Times New Roman"/>
                <w:b/>
                <w:sz w:val="14"/>
                <w:u w:val="single"/>
              </w:rPr>
              <w:t xml:space="preserve">www.proxyvote.com </w:t>
            </w:r>
          </w:p>
          <w:p>
            <w:pPr>
              <w:pStyle w:val="TableContents"/>
              <w:spacing w:before="0" w:after="20"/>
              <w:rPr/>
            </w:pPr>
            <w:r>
              <w:rPr/>
              <w:t> </w:t>
            </w:r>
          </w:p>
        </w:tc>
      </w:tr>
      <w:tr>
        <w:trPr/>
        <w:tc>
          <w:tcPr>
            <w:tcW w:w="5102" w:type="dxa"/>
            <w:vMerge w:val="continue"/>
            <w:tcBorders/>
            <w:shd w:fill="auto" w:val="clear"/>
          </w:tcPr>
          <w:p>
            <w:pPr>
              <w:pStyle w:val="Normal"/>
              <w:rPr/>
            </w:pPr>
            <w:r>
              <w:rPr/>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0"/>
              <w:rPr>
                <w:rFonts w:ascii="Times New Roman" w:hAnsi="Times New Roman"/>
                <w:sz w:val="14"/>
              </w:rPr>
            </w:pPr>
            <w:r>
              <w:rPr>
                <w:rFonts w:ascii="Times New Roman" w:hAnsi="Times New Roman"/>
                <w:sz w:val="14"/>
              </w:rPr>
              <w:t>Use the lnternet to transmit your voting instructions and for electronic delivery of information. Vote by 11:59 P.M. ET on May 6, 2021. Have your proxy card in hand when you access the web site and follow the instructions to obtain your records and to create an electronic voting instruction form.</w:t>
            </w:r>
          </w:p>
          <w:p>
            <w:pPr>
              <w:pStyle w:val="TableContents"/>
              <w:spacing w:before="0" w:after="20"/>
              <w:rPr/>
            </w:pPr>
            <w:r>
              <w:rPr/>
              <w:t> </w:t>
            </w:r>
          </w:p>
        </w:tc>
      </w:tr>
      <w:tr>
        <w:trPr/>
        <w:tc>
          <w:tcPr>
            <w:tcW w:w="5102" w:type="dxa"/>
            <w:vMerge w:val="continue"/>
            <w:tcBorders/>
            <w:shd w:fill="auto" w:val="clear"/>
          </w:tcPr>
          <w:p>
            <w:pPr>
              <w:pStyle w:val="Normal"/>
              <w:rPr/>
            </w:pPr>
            <w:r>
              <w:rPr/>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0"/>
              <w:rPr>
                <w:rFonts w:ascii="Times New Roman" w:hAnsi="Times New Roman"/>
                <w:sz w:val="14"/>
              </w:rPr>
            </w:pPr>
            <w:r>
              <w:rPr>
                <w:rFonts w:ascii="Times New Roman" w:hAnsi="Times New Roman"/>
                <w:i/>
                <w:sz w:val="14"/>
              </w:rPr>
              <w:t xml:space="preserve">During The Meeting </w:t>
            </w:r>
            <w:r>
              <w:rPr>
                <w:rFonts w:ascii="Times New Roman" w:hAnsi="Times New Roman"/>
                <w:sz w:val="14"/>
              </w:rPr>
              <w:t xml:space="preserve">- Go to </w:t>
            </w:r>
            <w:r>
              <w:rPr>
                <w:rFonts w:ascii="Times New Roman" w:hAnsi="Times New Roman"/>
                <w:b/>
                <w:sz w:val="14"/>
                <w:u w:val="single"/>
              </w:rPr>
              <w:t>www.virtualshareholdermeeting.com/HURN2021</w:t>
            </w:r>
          </w:p>
          <w:p>
            <w:pPr>
              <w:pStyle w:val="TableContents"/>
              <w:spacing w:before="0" w:after="20"/>
              <w:rPr/>
            </w:pPr>
            <w:r>
              <w:rPr/>
              <w:t> </w:t>
            </w:r>
          </w:p>
        </w:tc>
      </w:tr>
      <w:tr>
        <w:trPr/>
        <w:tc>
          <w:tcPr>
            <w:tcW w:w="5102" w:type="dxa"/>
            <w:vMerge w:val="continue"/>
            <w:tcBorders/>
            <w:shd w:fill="auto" w:val="clear"/>
          </w:tcPr>
          <w:p>
            <w:pPr>
              <w:pStyle w:val="Normal"/>
              <w:rPr/>
            </w:pPr>
            <w:r>
              <w:rPr/>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0"/>
              <w:rPr>
                <w:rFonts w:ascii="Times New Roman" w:hAnsi="Times New Roman"/>
                <w:sz w:val="14"/>
              </w:rPr>
            </w:pPr>
            <w:r>
              <w:rPr>
                <w:rFonts w:ascii="Times New Roman" w:hAnsi="Times New Roman"/>
                <w:sz w:val="14"/>
              </w:rPr>
              <w:t>You may attend the meeting via the Internet and vote during the meeting. Have the information that is printed in the box marked by the arrow available and follow the instructions.</w:t>
            </w:r>
          </w:p>
          <w:p>
            <w:pPr>
              <w:pStyle w:val="TableContents"/>
              <w:spacing w:before="0" w:after="20"/>
              <w:rPr/>
            </w:pPr>
            <w:r>
              <w:rPr/>
              <w:t> </w:t>
            </w:r>
          </w:p>
        </w:tc>
      </w:tr>
      <w:tr>
        <w:trPr/>
        <w:tc>
          <w:tcPr>
            <w:tcW w:w="5102" w:type="dxa"/>
            <w:vMerge w:val="continue"/>
            <w:tcBorders/>
            <w:shd w:fill="auto" w:val="clear"/>
          </w:tcPr>
          <w:p>
            <w:pPr>
              <w:pStyle w:val="Normal"/>
              <w:rPr/>
            </w:pPr>
            <w:r>
              <w:rPr/>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283"/>
              <w:rPr>
                <w:b/>
              </w:rPr>
            </w:pPr>
            <w:r>
              <w:rPr>
                <w:b/>
              </w:rPr>
              <w:t>VOTE BY PHONE - 1-800-690-6903</w:t>
            </w:r>
          </w:p>
        </w:tc>
      </w:tr>
      <w:tr>
        <w:trPr/>
        <w:tc>
          <w:tcPr>
            <w:tcW w:w="5102" w:type="dxa"/>
            <w:vMerge w:val="continue"/>
            <w:tcBorders/>
            <w:shd w:fill="auto" w:val="clear"/>
          </w:tcPr>
          <w:p>
            <w:pPr>
              <w:pStyle w:val="Normal"/>
              <w:rPr/>
            </w:pPr>
            <w:r>
              <w:rPr/>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0"/>
              <w:rPr>
                <w:rFonts w:ascii="Times New Roman" w:hAnsi="Times New Roman"/>
                <w:sz w:val="14"/>
              </w:rPr>
            </w:pPr>
            <w:r>
              <w:rPr>
                <w:rFonts w:ascii="Times New Roman" w:hAnsi="Times New Roman"/>
                <w:sz w:val="14"/>
              </w:rPr>
              <w:t>Use any touch-tone telephone to transmit your voting instructions. Vote by 11:59 P.M. ET on May 6, 2021. Have your proxy card in hand when you call and then follow the instructions.</w:t>
            </w:r>
          </w:p>
          <w:p>
            <w:pPr>
              <w:pStyle w:val="TableContents"/>
              <w:spacing w:before="0" w:after="20"/>
              <w:rPr/>
            </w:pPr>
            <w:r>
              <w:rPr/>
              <w:t> </w:t>
            </w:r>
          </w:p>
        </w:tc>
      </w:tr>
      <w:tr>
        <w:trPr/>
        <w:tc>
          <w:tcPr>
            <w:tcW w:w="5102" w:type="dxa"/>
            <w:vMerge w:val="continue"/>
            <w:tcBorders/>
            <w:shd w:fill="auto" w:val="clear"/>
          </w:tcPr>
          <w:p>
            <w:pPr>
              <w:pStyle w:val="Normal"/>
              <w:rPr/>
            </w:pPr>
            <w:r>
              <w:rPr/>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283"/>
              <w:rPr>
                <w:b/>
              </w:rPr>
            </w:pPr>
            <w:r>
              <w:rPr>
                <w:b/>
              </w:rPr>
              <w:t>VOTE BY MAIL</w:t>
            </w:r>
          </w:p>
        </w:tc>
      </w:tr>
      <w:tr>
        <w:trPr/>
        <w:tc>
          <w:tcPr>
            <w:tcW w:w="5102" w:type="dxa"/>
            <w:vMerge w:val="continue"/>
            <w:tcBorders/>
            <w:shd w:fill="auto" w:val="clear"/>
          </w:tcPr>
          <w:p>
            <w:pPr>
              <w:pStyle w:val="Normal"/>
              <w:rPr/>
            </w:pPr>
            <w:r>
              <w:rPr/>
            </w:r>
          </w:p>
        </w:tc>
        <w:tc>
          <w:tcPr>
            <w:tcW w:w="101" w:type="dxa"/>
            <w:tcBorders/>
            <w:shd w:fill="auto" w:val="clear"/>
            <w:vAlign w:val="bottom"/>
          </w:tcPr>
          <w:p>
            <w:pPr>
              <w:pStyle w:val="TableContents"/>
              <w:spacing w:before="0" w:after="283"/>
              <w:rPr/>
            </w:pPr>
            <w:r>
              <w:rPr/>
              <w:t> </w:t>
            </w:r>
          </w:p>
        </w:tc>
        <w:tc>
          <w:tcPr>
            <w:tcW w:w="5002" w:type="dxa"/>
            <w:tcBorders/>
            <w:shd w:fill="auto" w:val="clear"/>
          </w:tcPr>
          <w:p>
            <w:pPr>
              <w:pStyle w:val="TableContents"/>
              <w:spacing w:before="0" w:after="283"/>
              <w:rPr/>
            </w:pPr>
            <w:r>
              <w:rPr/>
              <w:t>Mark, sign and date your proxy card and return it in the postage-paid envelope we have provided or return it to Vote Processing, c/o Broadridge, 51 Mercedes Way, Edgewood, NY 11717.</w:t>
            </w:r>
          </w:p>
        </w:tc>
      </w:tr>
    </w:tbl>
    <w:p>
      <w:pPr>
        <w:pStyle w:val="TextBody"/>
        <w:spacing w:before="1800" w:after="0"/>
        <w:jc w:val="left"/>
        <w:rPr>
          <w:rFonts w:ascii="Times New Roman" w:hAnsi="Times New Roman"/>
          <w:sz w:val="14"/>
        </w:rPr>
      </w:pPr>
      <w:r>
        <w:rPr>
          <w:rFonts w:ascii="Times New Roman" w:hAnsi="Times New Roman"/>
          <w:sz w:val="14"/>
        </w:rPr>
        <w:t xml:space="preserve">TO VOTE, MARK BLOCKS BELOW IN BLUE OR BLACK INK AS FOLLOWS: </w:t>
      </w:r>
    </w:p>
    <w:tbl>
      <w:tblPr>
        <w:tblW w:w="5000" w:type="pct"/>
        <w:jc w:val="center"/>
        <w:tblInd w:w="0" w:type="dxa"/>
        <w:tblCellMar>
          <w:top w:w="0" w:type="dxa"/>
          <w:left w:w="0" w:type="dxa"/>
          <w:bottom w:w="0" w:type="dxa"/>
          <w:right w:w="0" w:type="dxa"/>
        </w:tblCellMar>
      </w:tblPr>
      <w:tblGrid>
        <w:gridCol w:w="3828"/>
        <w:gridCol w:w="139"/>
        <w:gridCol w:w="1191"/>
        <w:gridCol w:w="139"/>
        <w:gridCol w:w="4908"/>
      </w:tblGrid>
      <w:tr>
        <w:trPr/>
        <w:tc>
          <w:tcPr>
            <w:tcW w:w="3828"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1191" w:type="dxa"/>
            <w:tcBorders/>
            <w:shd w:fill="auto" w:val="clear"/>
            <w:vAlign w:val="cente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sz w:val="4"/>
                <w:szCs w:val="4"/>
              </w:rPr>
            </w:pPr>
            <w:r>
              <w:rPr>
                <w:sz w:val="4"/>
                <w:szCs w:val="4"/>
              </w:rPr>
            </w:r>
          </w:p>
        </w:tc>
        <w:tc>
          <w:tcPr>
            <w:tcW w:w="4908" w:type="dxa"/>
            <w:tcBorders/>
            <w:shd w:fill="auto" w:val="clear"/>
            <w:vAlign w:val="center"/>
          </w:tcPr>
          <w:p>
            <w:pPr>
              <w:pStyle w:val="TableContents"/>
              <w:spacing w:before="0" w:after="283"/>
              <w:rPr>
                <w:sz w:val="4"/>
                <w:szCs w:val="4"/>
              </w:rPr>
            </w:pPr>
            <w:r>
              <w:rPr>
                <w:sz w:val="4"/>
                <w:szCs w:val="4"/>
              </w:rPr>
            </w:r>
          </w:p>
        </w:tc>
      </w:tr>
      <w:tr>
        <w:trPr/>
        <w:tc>
          <w:tcPr>
            <w:tcW w:w="3828" w:type="dxa"/>
            <w:tcBorders/>
            <w:shd w:fill="auto" w:val="clear"/>
          </w:tcPr>
          <w:p>
            <w:pPr>
              <w:pStyle w:val="TableContents"/>
              <w:spacing w:before="0" w:after="283"/>
              <w:rPr>
                <w:sz w:val="4"/>
                <w:szCs w:val="4"/>
              </w:rPr>
            </w:pPr>
            <w:r>
              <w:rPr>
                <w:sz w:val="4"/>
                <w:szCs w:val="4"/>
              </w:rPr>
            </w:r>
          </w:p>
        </w:tc>
        <w:tc>
          <w:tcPr>
            <w:tcW w:w="139" w:type="dxa"/>
            <w:tcBorders/>
            <w:shd w:fill="auto" w:val="clear"/>
            <w:vAlign w:val="bottom"/>
          </w:tcPr>
          <w:p>
            <w:pPr>
              <w:pStyle w:val="TableContents"/>
              <w:spacing w:before="0" w:after="283"/>
              <w:rPr/>
            </w:pPr>
            <w:r>
              <w:rPr/>
              <w:t>  </w:t>
            </w:r>
          </w:p>
        </w:tc>
        <w:tc>
          <w:tcPr>
            <w:tcW w:w="1191" w:type="dxa"/>
            <w:tcBorders/>
            <w:shd w:fill="auto" w:val="clear"/>
          </w:tcPr>
          <w:p>
            <w:pPr>
              <w:pStyle w:val="TableContents"/>
              <w:spacing w:before="0" w:after="283"/>
              <w:rPr/>
            </w:pPr>
            <w:r>
              <w:rPr/>
              <w:t>D36733-P49950</w:t>
            </w:r>
          </w:p>
        </w:tc>
        <w:tc>
          <w:tcPr>
            <w:tcW w:w="139" w:type="dxa"/>
            <w:tcBorders/>
            <w:shd w:fill="auto" w:val="clear"/>
            <w:vAlign w:val="bottom"/>
          </w:tcPr>
          <w:p>
            <w:pPr>
              <w:pStyle w:val="TableContents"/>
              <w:spacing w:before="0" w:after="283"/>
              <w:rPr/>
            </w:pPr>
            <w:r>
              <w:rPr/>
              <w:t>  </w:t>
            </w:r>
          </w:p>
        </w:tc>
        <w:tc>
          <w:tcPr>
            <w:tcW w:w="4908" w:type="dxa"/>
            <w:tcBorders/>
            <w:shd w:fill="auto" w:val="clear"/>
          </w:tcPr>
          <w:p>
            <w:pPr>
              <w:pStyle w:val="TableContents"/>
              <w:spacing w:before="0" w:after="283"/>
              <w:jc w:val="right"/>
              <w:rPr/>
            </w:pPr>
            <w:r>
              <w:rPr/>
              <w:t>KEEP THIS PORTION FOR YOUR RECORDS</w:t>
            </w:r>
          </w:p>
        </w:tc>
      </w:tr>
    </w:tbl>
    <w:p>
      <w:pPr>
        <w:pStyle w:val="TextBody"/>
        <w:spacing w:before="0" w:after="0"/>
        <w:jc w:val="center"/>
        <w:rPr>
          <w:rFonts w:ascii="Times New Roman" w:hAnsi="Times New Roman"/>
          <w:sz w:val="14"/>
        </w:rPr>
      </w:pPr>
      <w:r>
        <w:rPr>
          <w:rFonts w:ascii="Times New Roman" w:hAnsi="Times New Roman"/>
          <w:sz w:val="14"/>
        </w:rPr>
        <w:t xml:space="preserve">                                                                         </w:t>
      </w:r>
    </w:p>
    <w:tbl>
      <w:tblPr>
        <w:tblW w:w="5000" w:type="pct"/>
        <w:jc w:val="center"/>
        <w:tblInd w:w="0" w:type="dxa"/>
        <w:tblCellMar>
          <w:top w:w="0" w:type="dxa"/>
          <w:left w:w="0" w:type="dxa"/>
          <w:bottom w:w="0" w:type="dxa"/>
          <w:right w:w="0" w:type="dxa"/>
        </w:tblCellMar>
      </w:tblPr>
      <w:tblGrid>
        <w:gridCol w:w="4709"/>
        <w:gridCol w:w="145"/>
        <w:gridCol w:w="23"/>
        <w:gridCol w:w="145"/>
        <w:gridCol w:w="5183"/>
      </w:tblGrid>
      <w:tr>
        <w:trPr/>
        <w:tc>
          <w:tcPr>
            <w:tcW w:w="4709"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23" w:type="dxa"/>
            <w:tcBorders/>
            <w:shd w:fill="auto" w:val="clear"/>
            <w:vAlign w:val="cente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sz w:val="4"/>
                <w:szCs w:val="4"/>
              </w:rPr>
            </w:pPr>
            <w:r>
              <w:rPr>
                <w:sz w:val="4"/>
                <w:szCs w:val="4"/>
              </w:rPr>
            </w:r>
          </w:p>
        </w:tc>
        <w:tc>
          <w:tcPr>
            <w:tcW w:w="5183" w:type="dxa"/>
            <w:tcBorders/>
            <w:shd w:fill="auto" w:val="clear"/>
            <w:vAlign w:val="center"/>
          </w:tcPr>
          <w:p>
            <w:pPr>
              <w:pStyle w:val="TableContents"/>
              <w:spacing w:before="0" w:after="283"/>
              <w:rPr>
                <w:sz w:val="4"/>
                <w:szCs w:val="4"/>
              </w:rPr>
            </w:pPr>
            <w:r>
              <w:rPr>
                <w:sz w:val="4"/>
                <w:szCs w:val="4"/>
              </w:rPr>
            </w:r>
          </w:p>
        </w:tc>
      </w:tr>
      <w:tr>
        <w:trPr/>
        <w:tc>
          <w:tcPr>
            <w:tcW w:w="4709"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23" w:type="dxa"/>
            <w:tcBorders/>
            <w:shd w:fill="auto" w:val="clear"/>
          </w:tcPr>
          <w:p>
            <w:pPr>
              <w:pStyle w:val="TableContents"/>
              <w:spacing w:before="0" w:after="283"/>
              <w:rPr>
                <w:sz w:val="4"/>
                <w:szCs w:val="4"/>
              </w:rPr>
            </w:pPr>
            <w:r>
              <w:rPr>
                <w:sz w:val="4"/>
                <w:szCs w:val="4"/>
              </w:rPr>
            </w:r>
          </w:p>
        </w:tc>
        <w:tc>
          <w:tcPr>
            <w:tcW w:w="145" w:type="dxa"/>
            <w:tcBorders/>
            <w:shd w:fill="auto" w:val="clear"/>
            <w:vAlign w:val="bottom"/>
          </w:tcPr>
          <w:p>
            <w:pPr>
              <w:pStyle w:val="TableContents"/>
              <w:spacing w:before="0" w:after="283"/>
              <w:rPr/>
            </w:pPr>
            <w:r>
              <w:rPr/>
              <w:t>  </w:t>
            </w:r>
          </w:p>
        </w:tc>
        <w:tc>
          <w:tcPr>
            <w:tcW w:w="5183" w:type="dxa"/>
            <w:tcBorders/>
            <w:shd w:fill="auto" w:val="clear"/>
          </w:tcPr>
          <w:p>
            <w:pPr>
              <w:pStyle w:val="TableContents"/>
              <w:spacing w:before="0" w:after="283"/>
              <w:jc w:val="right"/>
              <w:rPr/>
            </w:pPr>
            <w:r>
              <w:rPr/>
              <w:t>DETACH AND RETURN THIS PORTION ONLY</w:t>
            </w:r>
          </w:p>
        </w:tc>
      </w:tr>
    </w:tbl>
    <w:p>
      <w:pPr>
        <w:pStyle w:val="TextBody"/>
        <w:spacing w:before="0" w:after="0"/>
        <w:jc w:val="center"/>
        <w:rPr>
          <w:rFonts w:ascii="Times New Roman" w:hAnsi="Times New Roman"/>
          <w:b/>
          <w:sz w:val="16"/>
        </w:rPr>
      </w:pPr>
      <w:r>
        <w:rPr>
          <w:rFonts w:ascii="Times New Roman" w:hAnsi="Times New Roman"/>
          <w:b/>
          <w:sz w:val="16"/>
        </w:rPr>
        <w:t xml:space="preserve">THIS PROXY CARD IS VALID ONLY WHEN SIGNED AND DATED. </w:t>
      </w:r>
    </w:p>
    <w:p>
      <w:pPr>
        <w:pStyle w:val="TextBody"/>
        <w:spacing w:before="0" w:after="0"/>
        <w:jc w:val="left"/>
        <w:rPr/>
      </w:pPr>
      <w:r>
        <w:rPr/>
        <w:t xml:space="preserve">  </w:t>
      </w:r>
    </w:p>
    <w:p>
      <w:pPr>
        <w:pStyle w:val="TextBody"/>
        <w:jc w:val="left"/>
        <w:rPr>
          <w:bdr w:val="single" w:sz="12" w:space="2" w:color="000000"/>
        </w:rPr>
      </w:pPr>
      <w:r>
        <w:rPr>
          <w:bdr w:val="single" w:sz="12" w:space="2" w:color="000000"/>
        </w:rPr>
        <w:t> </w:t>
      </w:r>
      <w:r>
        <mc:AlternateContent>
          <mc:Choice Requires="wps">
            <w:drawing>
              <wp:anchor behindDoc="0" distT="0" distB="0" distL="0" distR="0" simplePos="0" locked="0" layoutInCell="1" allowOverlap="1" relativeHeight="3">
                <wp:simplePos x="0" y="0"/>
                <wp:positionH relativeFrom="column">
                  <wp:align>left</wp:align>
                </wp:positionH>
                <wp:positionV relativeFrom="line">
                  <wp:posOffset>635</wp:posOffset>
                </wp:positionV>
                <wp:extent cx="3110230" cy="4756150"/>
                <wp:effectExtent l="0" t="0" r="0" b="0"/>
                <wp:wrapSquare wrapText="largest"/>
                <wp:docPr id="26" name="Frame1"/>
                <a:graphic xmlns:a="http://schemas.openxmlformats.org/drawingml/2006/main">
                  <a:graphicData uri="http://schemas.microsoft.com/office/word/2010/wordprocessingShape">
                    <wps:wsp>
                      <wps:cNvSpPr txBox="1"/>
                      <wps:spPr>
                        <a:xfrm>
                          <a:off x="0" y="0"/>
                          <a:ext cx="3110230" cy="4756150"/>
                        </a:xfrm>
                        <a:prstGeom prst="rect"/>
                      </wps:spPr>
                      <wps:txbx>
                        <w:txbxContent>
                          <w:tbl>
                            <w:tblPr>
                              <w:tblW w:w="5000" w:type="pct"/>
                              <w:jc w:val="center"/>
                              <w:tblInd w:w="0" w:type="dxa"/>
                              <w:tblCellMar>
                                <w:top w:w="0" w:type="dxa"/>
                                <w:left w:w="0" w:type="dxa"/>
                                <w:bottom w:w="0" w:type="dxa"/>
                                <w:right w:w="0" w:type="dxa"/>
                              </w:tblCellMar>
                            </w:tblPr>
                            <w:tblGrid>
                              <w:gridCol w:w="352"/>
                              <w:gridCol w:w="581"/>
                              <w:gridCol w:w="2368"/>
                              <w:gridCol w:w="57"/>
                              <w:gridCol w:w="28"/>
                              <w:gridCol w:w="225"/>
                              <w:gridCol w:w="29"/>
                              <w:gridCol w:w="56"/>
                              <w:gridCol w:w="29"/>
                              <w:gridCol w:w="591"/>
                              <w:gridCol w:w="29"/>
                              <w:gridCol w:w="57"/>
                              <w:gridCol w:w="28"/>
                              <w:gridCol w:w="436"/>
                              <w:gridCol w:w="32"/>
                            </w:tblGrid>
                            <w:tr>
                              <w:trPr/>
                              <w:tc>
                                <w:tcPr>
                                  <w:tcW w:w="352"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bottom"/>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bottom"/>
                                </w:tcPr>
                                <w:p>
                                  <w:pPr>
                                    <w:pStyle w:val="TableContents"/>
                                    <w:spacing w:before="0" w:after="283"/>
                                    <w:rPr>
                                      <w:sz w:val="4"/>
                                      <w:szCs w:val="4"/>
                                    </w:rPr>
                                  </w:pPr>
                                  <w:r>
                                    <w:rPr>
                                      <w:sz w:val="4"/>
                                      <w:szCs w:val="4"/>
                                    </w:rPr>
                                  </w:r>
                                </w:p>
                              </w:tc>
                              <w:tc>
                                <w:tcPr>
                                  <w:tcW w:w="2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bottom"/>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bottom"/>
                                </w:tcPr>
                                <w:p>
                                  <w:pPr>
                                    <w:pStyle w:val="TableContents"/>
                                    <w:spacing w:before="0" w:after="283"/>
                                    <w:rPr>
                                      <w:sz w:val="4"/>
                                      <w:szCs w:val="4"/>
                                    </w:rPr>
                                  </w:pPr>
                                  <w:r>
                                    <w:rPr>
                                      <w:sz w:val="4"/>
                                      <w:szCs w:val="4"/>
                                    </w:rPr>
                                  </w:r>
                                </w:p>
                              </w:tc>
                              <w:tc>
                                <w:tcPr>
                                  <w:tcW w:w="28"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r>
                            <w:tr>
                              <w:trPr/>
                              <w:tc>
                                <w:tcPr>
                                  <w:tcW w:w="3301" w:type="dxa"/>
                                  <w:gridSpan w:val="3"/>
                                  <w:tcBorders/>
                                  <w:shd w:fill="auto" w:val="clear"/>
                                  <w:vAlign w:val="bottom"/>
                                </w:tcPr>
                                <w:p>
                                  <w:pPr>
                                    <w:pStyle w:val="TableContents"/>
                                    <w:spacing w:before="0" w:after="283"/>
                                    <w:rPr/>
                                  </w:pPr>
                                  <w:r>
                                    <w:rPr/>
                                    <w:t>  </w:t>
                                  </w:r>
                                  <w:r>
                                    <w:rPr>
                                      <w:b/>
                                    </w:rPr>
                                    <w:t>HURON CONSULTING GROUP INC.</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center"/>
                                    <w:rPr>
                                      <w:b/>
                                    </w:rPr>
                                  </w:pPr>
                                  <w:r>
                                    <w:rPr>
                                      <w:b/>
                                    </w:rPr>
                                    <w:t>For</w:t>
                                  </w:r>
                                </w:p>
                              </w:tc>
                              <w:tc>
                                <w:tcPr>
                                  <w:tcW w:w="29" w:type="dxa"/>
                                  <w:tcBorders/>
                                  <w:shd w:fill="auto" w:val="clear"/>
                                  <w:vAlign w:val="bottom"/>
                                </w:tcPr>
                                <w:p>
                                  <w:pPr>
                                    <w:pStyle w:val="TableContents"/>
                                    <w:spacing w:before="0" w:after="283"/>
                                    <w:rPr/>
                                  </w:pPr>
                                  <w:r>
                                    <w:rPr/>
                                    <w:t> </w:t>
                                  </w:r>
                                </w:p>
                              </w:tc>
                              <w:tc>
                                <w:tcPr>
                                  <w:tcW w:w="56"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center"/>
                                    <w:rPr>
                                      <w:b/>
                                    </w:rPr>
                                  </w:pPr>
                                  <w:r>
                                    <w:rPr>
                                      <w:b/>
                                    </w:rPr>
                                    <w:t>Withhold</w:t>
                                  </w:r>
                                </w:p>
                              </w:tc>
                              <w:tc>
                                <w:tcPr>
                                  <w:tcW w:w="29" w:type="dxa"/>
                                  <w:tcBorders/>
                                  <w:shd w:fill="auto" w:val="clear"/>
                                  <w:vAlign w:val="bottom"/>
                                </w:tcPr>
                                <w:p>
                                  <w:pPr>
                                    <w:pStyle w:val="TableContents"/>
                                    <w:spacing w:before="0" w:after="283"/>
                                    <w:rPr/>
                                  </w:pPr>
                                  <w:r>
                                    <w:rPr/>
                                    <w:t> </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jc w:val="center"/>
                                    <w:rPr>
                                      <w:b/>
                                    </w:rPr>
                                  </w:pPr>
                                  <w:r>
                                    <w:rPr>
                                      <w:b/>
                                    </w:rPr>
                                    <w:t>For All</w:t>
                                  </w:r>
                                </w:p>
                              </w:tc>
                              <w:tc>
                                <w:tcPr>
                                  <w:tcW w:w="32" w:type="dxa"/>
                                  <w:tcBorders/>
                                  <w:shd w:fill="auto" w:val="clear"/>
                                  <w:vAlign w:val="bottom"/>
                                </w:tcPr>
                                <w:p>
                                  <w:pPr>
                                    <w:pStyle w:val="TableContents"/>
                                    <w:spacing w:before="0" w:after="283"/>
                                    <w:rPr/>
                                  </w:pPr>
                                  <w:r>
                                    <w:rPr/>
                                    <w:t> </w:t>
                                  </w:r>
                                </w:p>
                              </w:tc>
                            </w:tr>
                            <w:tr>
                              <w:trPr/>
                              <w:tc>
                                <w:tcPr>
                                  <w:tcW w:w="352" w:type="dxa"/>
                                  <w:tcBorders/>
                                  <w:shd w:fill="auto" w:val="clear"/>
                                  <w:vAlign w:val="bottom"/>
                                </w:tcPr>
                                <w:p>
                                  <w:pPr>
                                    <w:pStyle w:val="TableContents"/>
                                    <w:spacing w:before="0" w:after="283"/>
                                    <w:rPr>
                                      <w:sz w:val="4"/>
                                      <w:szCs w:val="4"/>
                                    </w:rPr>
                                  </w:pPr>
                                  <w:r>
                                    <w:rPr>
                                      <w:sz w:val="4"/>
                                      <w:szCs w:val="4"/>
                                    </w:rPr>
                                  </w:r>
                                </w:p>
                              </w:tc>
                              <w:tc>
                                <w:tcPr>
                                  <w:tcW w:w="581" w:type="dxa"/>
                                  <w:tcBorders/>
                                  <w:shd w:fill="auto" w:val="clear"/>
                                  <w:vAlign w:val="bottom"/>
                                </w:tcPr>
                                <w:p>
                                  <w:pPr>
                                    <w:pStyle w:val="TableContents"/>
                                    <w:spacing w:before="0" w:after="283"/>
                                    <w:rPr/>
                                  </w:pPr>
                                  <w:r>
                                    <w:rPr/>
                                    <w:t>  </w:t>
                                  </w:r>
                                </w:p>
                              </w:tc>
                              <w:tc>
                                <w:tcPr>
                                  <w:tcW w:w="2368" w:type="dxa"/>
                                  <w:tcBorders/>
                                  <w:shd w:fill="auto" w:val="clear"/>
                                  <w:vAlign w:val="bottom"/>
                                </w:tcPr>
                                <w:p>
                                  <w:pPr>
                                    <w:pStyle w:val="TableContents"/>
                                    <w:spacing w:before="0" w:after="283"/>
                                    <w:rPr>
                                      <w:sz w:val="4"/>
                                      <w:szCs w:val="4"/>
                                    </w:rPr>
                                  </w:pPr>
                                  <w:r>
                                    <w:rPr>
                                      <w:sz w:val="4"/>
                                      <w:szCs w:val="4"/>
                                    </w:rPr>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center"/>
                                    <w:rPr>
                                      <w:b/>
                                    </w:rPr>
                                  </w:pPr>
                                  <w:r>
                                    <w:rPr>
                                      <w:b/>
                                    </w:rPr>
                                    <w:t>All</w:t>
                                  </w:r>
                                </w:p>
                              </w:tc>
                              <w:tc>
                                <w:tcPr>
                                  <w:tcW w:w="29" w:type="dxa"/>
                                  <w:tcBorders/>
                                  <w:shd w:fill="auto" w:val="clear"/>
                                  <w:vAlign w:val="bottom"/>
                                </w:tcPr>
                                <w:p>
                                  <w:pPr>
                                    <w:pStyle w:val="TableContents"/>
                                    <w:spacing w:before="0" w:after="283"/>
                                    <w:rPr/>
                                  </w:pPr>
                                  <w:r>
                                    <w:rPr/>
                                    <w:t> </w:t>
                                  </w:r>
                                </w:p>
                              </w:tc>
                              <w:tc>
                                <w:tcPr>
                                  <w:tcW w:w="56"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center"/>
                                    <w:rPr>
                                      <w:b/>
                                    </w:rPr>
                                  </w:pPr>
                                  <w:r>
                                    <w:rPr>
                                      <w:b/>
                                    </w:rPr>
                                    <w:t>All</w:t>
                                  </w:r>
                                </w:p>
                              </w:tc>
                              <w:tc>
                                <w:tcPr>
                                  <w:tcW w:w="29" w:type="dxa"/>
                                  <w:tcBorders/>
                                  <w:shd w:fill="auto" w:val="clear"/>
                                  <w:vAlign w:val="bottom"/>
                                </w:tcPr>
                                <w:p>
                                  <w:pPr>
                                    <w:pStyle w:val="TableContents"/>
                                    <w:spacing w:before="0" w:after="283"/>
                                    <w:rPr/>
                                  </w:pPr>
                                  <w:r>
                                    <w:rPr/>
                                    <w:t> </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jc w:val="center"/>
                                    <w:rPr>
                                      <w:b/>
                                    </w:rPr>
                                  </w:pPr>
                                  <w:r>
                                    <w:rPr>
                                      <w:b/>
                                    </w:rPr>
                                    <w:t>Except</w:t>
                                  </w:r>
                                </w:p>
                              </w:tc>
                              <w:tc>
                                <w:tcPr>
                                  <w:tcW w:w="32" w:type="dxa"/>
                                  <w:tcBorders/>
                                  <w:shd w:fill="auto" w:val="clear"/>
                                  <w:vAlign w:val="bottom"/>
                                </w:tcPr>
                                <w:p>
                                  <w:pPr>
                                    <w:pStyle w:val="TableContents"/>
                                    <w:spacing w:before="0" w:after="283"/>
                                    <w:rPr/>
                                  </w:pPr>
                                  <w:r>
                                    <w:rPr/>
                                    <w:t> </w:t>
                                  </w:r>
                                </w:p>
                              </w:tc>
                            </w:tr>
                            <w:tr>
                              <w:trPr/>
                              <w:tc>
                                <w:tcPr>
                                  <w:tcW w:w="3301" w:type="dxa"/>
                                  <w:gridSpan w:val="3"/>
                                  <w:tcBorders/>
                                  <w:shd w:fill="auto" w:val="clear"/>
                                </w:tcPr>
                                <w:p>
                                  <w:pPr>
                                    <w:pStyle w:val="TableContents"/>
                                    <w:spacing w:before="0" w:after="0"/>
                                    <w:rPr>
                                      <w:rFonts w:ascii="Times New Roman" w:hAnsi="Times New Roman"/>
                                      <w:b/>
                                      <w:sz w:val="14"/>
                                    </w:rPr>
                                  </w:pPr>
                                  <w:r>
                                    <w:rPr>
                                      <w:rFonts w:ascii="Times New Roman" w:hAnsi="Times New Roman"/>
                                      <w:b/>
                                      <w:sz w:val="14"/>
                                    </w:rPr>
                                    <w:t>The Board of Directors recommends you vote FOR the following:</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29" w:type="dxa"/>
                                  <w:tcBorders/>
                                  <w:shd w:fill="auto" w:val="clear"/>
                                  <w:vAlign w:val="bottom"/>
                                </w:tcPr>
                                <w:p>
                                  <w:pPr>
                                    <w:pStyle w:val="TableContents"/>
                                    <w:spacing w:before="0" w:after="283"/>
                                    <w:rPr>
                                      <w:sz w:val="4"/>
                                      <w:szCs w:val="4"/>
                                    </w:rPr>
                                  </w:pPr>
                                  <w:r>
                                    <w:rPr>
                                      <w:sz w:val="4"/>
                                      <w:szCs w:val="4"/>
                                    </w:rPr>
                                  </w:r>
                                </w:p>
                              </w:tc>
                              <w:tc>
                                <w:tcPr>
                                  <w:tcW w:w="56"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29" w:type="dxa"/>
                                  <w:tcBorders/>
                                  <w:shd w:fill="auto" w:val="clear"/>
                                  <w:vAlign w:val="bottom"/>
                                </w:tcPr>
                                <w:p>
                                  <w:pPr>
                                    <w:pStyle w:val="TableContents"/>
                                    <w:spacing w:before="0" w:after="283"/>
                                    <w:rPr>
                                      <w:sz w:val="4"/>
                                      <w:szCs w:val="4"/>
                                    </w:rPr>
                                  </w:pPr>
                                  <w:r>
                                    <w:rPr>
                                      <w:sz w:val="4"/>
                                      <w:szCs w:val="4"/>
                                    </w:rPr>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sz w:val="4"/>
                                      <w:szCs w:val="4"/>
                                    </w:rPr>
                                  </w:pPr>
                                  <w:r>
                                    <w:rPr>
                                      <w:sz w:val="4"/>
                                      <w:szCs w:val="4"/>
                                    </w:rPr>
                                  </w:r>
                                </w:p>
                              </w:tc>
                              <w:tc>
                                <w:tcPr>
                                  <w:tcW w:w="3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3301" w:type="dxa"/>
                                  <w:gridSpan w:val="3"/>
                                  <w:tcBorders/>
                                  <w:shd w:fill="auto" w:val="clear"/>
                                  <w:vAlign w:val="center"/>
                                </w:tcPr>
                                <w:p>
                                  <w:pPr>
                                    <w:pStyle w:val="TableContents"/>
                                    <w:spacing w:before="0" w:after="283"/>
                                    <w:rPr>
                                      <w:sz w:val="4"/>
                                      <w:szCs w:val="4"/>
                                    </w:rPr>
                                  </w:pPr>
                                  <w:r>
                                    <w:rPr>
                                      <w:sz w:val="4"/>
                                      <w:szCs w:val="4"/>
                                    </w:rPr>
                                  </w:r>
                                </w:p>
                              </w:tc>
                              <w:tc>
                                <w:tcPr>
                                  <w:tcW w:w="339"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553" w:type="dxa"/>
                                  <w:gridSpan w:val="4"/>
                                  <w:tcBorders/>
                                  <w:shd w:fill="auto" w:val="clear"/>
                                  <w:vAlign w:val="center"/>
                                </w:tcPr>
                                <w:p>
                                  <w:pPr>
                                    <w:pStyle w:val="TableContents"/>
                                    <w:spacing w:before="0" w:after="283"/>
                                    <w:rPr>
                                      <w:sz w:val="4"/>
                                      <w:szCs w:val="4"/>
                                    </w:rPr>
                                  </w:pPr>
                                  <w:r>
                                    <w:rPr>
                                      <w:sz w:val="4"/>
                                      <w:szCs w:val="4"/>
                                    </w:rPr>
                                  </w:r>
                                </w:p>
                              </w:tc>
                            </w:tr>
                            <w:tr>
                              <w:trPr/>
                              <w:tc>
                                <w:tcPr>
                                  <w:tcW w:w="3301" w:type="dxa"/>
                                  <w:gridSpan w:val="3"/>
                                  <w:tcBorders/>
                                  <w:shd w:fill="auto" w:val="clear"/>
                                </w:tcPr>
                                <w:p>
                                  <w:pPr>
                                    <w:pStyle w:val="TableContents"/>
                                    <w:spacing w:before="0" w:after="0"/>
                                    <w:rPr>
                                      <w:rFonts w:ascii="Times New Roman" w:hAnsi="Times New Roman"/>
                                      <w:sz w:val="14"/>
                                    </w:rPr>
                                  </w:pPr>
                                  <w:r>
                                    <w:rPr>
                                      <w:rFonts w:ascii="Times New Roman" w:hAnsi="Times New Roman"/>
                                      <w:sz w:val="14"/>
                                    </w:rPr>
                                    <w:t>1.   Election of Directors*</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center"/>
                                    <w:rPr/>
                                  </w:pPr>
                                  <w:r>
                                    <w:rPr/>
                                    <w:t>☐</w:t>
                                  </w:r>
                                </w:p>
                              </w:tc>
                              <w:tc>
                                <w:tcPr>
                                  <w:tcW w:w="29" w:type="dxa"/>
                                  <w:tcBorders/>
                                  <w:shd w:fill="auto" w:val="clear"/>
                                  <w:vAlign w:val="bottom"/>
                                </w:tcPr>
                                <w:p>
                                  <w:pPr>
                                    <w:pStyle w:val="TableContents"/>
                                    <w:spacing w:before="0" w:after="283"/>
                                    <w:rPr/>
                                  </w:pPr>
                                  <w:r>
                                    <w:rPr/>
                                    <w:t> </w:t>
                                  </w:r>
                                </w:p>
                              </w:tc>
                              <w:tc>
                                <w:tcPr>
                                  <w:tcW w:w="56"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center"/>
                                    <w:rPr/>
                                  </w:pPr>
                                  <w:r>
                                    <w:rPr/>
                                    <w:t>☐</w:t>
                                  </w:r>
                                </w:p>
                              </w:tc>
                              <w:tc>
                                <w:tcPr>
                                  <w:tcW w:w="29" w:type="dxa"/>
                                  <w:tcBorders/>
                                  <w:shd w:fill="auto" w:val="clear"/>
                                  <w:vAlign w:val="bottom"/>
                                </w:tcPr>
                                <w:p>
                                  <w:pPr>
                                    <w:pStyle w:val="TableContents"/>
                                    <w:spacing w:before="0" w:after="283"/>
                                    <w:rPr/>
                                  </w:pPr>
                                  <w:r>
                                    <w:rPr/>
                                    <w:t> </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jc w:val="center"/>
                                    <w:rPr/>
                                  </w:pPr>
                                  <w:r>
                                    <w:rPr/>
                                    <w:t>☐</w:t>
                                  </w:r>
                                </w:p>
                              </w:tc>
                              <w:tc>
                                <w:tcPr>
                                  <w:tcW w:w="32"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86"/>
                              <w:gridCol w:w="192"/>
                              <w:gridCol w:w="4251"/>
                              <w:gridCol w:w="57"/>
                              <w:gridCol w:w="12"/>
                            </w:tblGrid>
                            <w:tr>
                              <w:trPr/>
                              <w:tc>
                                <w:tcPr>
                                  <w:tcW w:w="38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4251"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bottom"/>
                                </w:tcPr>
                                <w:p>
                                  <w:pPr>
                                    <w:pStyle w:val="TableContents"/>
                                    <w:spacing w:before="0" w:after="283"/>
                                    <w:rPr>
                                      <w:sz w:val="4"/>
                                      <w:szCs w:val="4"/>
                                    </w:rPr>
                                  </w:pPr>
                                  <w:r>
                                    <w:rPr>
                                      <w:sz w:val="4"/>
                                      <w:szCs w:val="4"/>
                                    </w:rPr>
                                  </w:r>
                                </w:p>
                              </w:tc>
                              <w:tc>
                                <w:tcPr>
                                  <w:tcW w:w="12"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4829" w:type="dxa"/>
                                  <w:gridSpan w:val="3"/>
                                  <w:tcBorders/>
                                  <w:shd w:fill="auto" w:val="clear"/>
                                  <w:vAlign w:val="center"/>
                                </w:tcPr>
                                <w:p>
                                  <w:pPr>
                                    <w:pStyle w:val="TableContents"/>
                                    <w:spacing w:before="0" w:after="283"/>
                                    <w:rPr>
                                      <w:sz w:val="4"/>
                                      <w:szCs w:val="4"/>
                                    </w:rPr>
                                  </w:pPr>
                                  <w:r>
                                    <w:rPr>
                                      <w:sz w:val="4"/>
                                      <w:szCs w:val="4"/>
                                    </w:rPr>
                                  </w:r>
                                </w:p>
                              </w:tc>
                              <w:tc>
                                <w:tcPr>
                                  <w:tcW w:w="69" w:type="dxa"/>
                                  <w:gridSpan w:val="2"/>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auto" w:val="clear"/>
                                  <w:vAlign w:val="bottom"/>
                                </w:tcPr>
                                <w:p>
                                  <w:pPr>
                                    <w:pStyle w:val="TableContents"/>
                                    <w:spacing w:before="0" w:after="283"/>
                                    <w:rPr/>
                                  </w:pPr>
                                  <w:r>
                                    <w:rPr/>
                                    <w:t>        </w:t>
                                  </w:r>
                                  <w:r>
                                    <w:rPr>
                                      <w:rFonts w:ascii="Times New Roman" w:hAnsi="Times New Roman"/>
                                      <w:b/>
                                    </w:rPr>
                                    <w:t>Nominees:</w:t>
                                  </w:r>
                                </w:p>
                              </w:tc>
                              <w:tc>
                                <w:tcPr>
                                  <w:tcW w:w="57" w:type="dxa"/>
                                  <w:tcBorders/>
                                  <w:shd w:fill="auto" w:val="clear"/>
                                  <w:vAlign w:val="bottom"/>
                                </w:tcPr>
                                <w:p>
                                  <w:pPr>
                                    <w:pStyle w:val="TableContents"/>
                                    <w:spacing w:before="0" w:after="283"/>
                                    <w:rPr/>
                                  </w:pPr>
                                  <w:r>
                                    <w:rPr/>
                                    <w:t>  </w:t>
                                  </w:r>
                                </w:p>
                              </w:tc>
                              <w:tc>
                                <w:tcPr>
                                  <w:tcW w:w="1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386" w:type="dxa"/>
                                  <w:tcBorders/>
                                  <w:shd w:fill="auto" w:val="clear"/>
                                  <w:vAlign w:val="center"/>
                                </w:tcPr>
                                <w:p>
                                  <w:pPr>
                                    <w:pStyle w:val="TableContents"/>
                                    <w:spacing w:before="0" w:after="283"/>
                                    <w:rPr>
                                      <w:sz w:val="4"/>
                                      <w:szCs w:val="4"/>
                                    </w:rPr>
                                  </w:pPr>
                                  <w:r>
                                    <w:rPr>
                                      <w:sz w:val="4"/>
                                      <w:szCs w:val="4"/>
                                    </w:rPr>
                                  </w:r>
                                </w:p>
                              </w:tc>
                              <w:tc>
                                <w:tcPr>
                                  <w:tcW w:w="4443" w:type="dxa"/>
                                  <w:gridSpan w:val="2"/>
                                  <w:tcBorders/>
                                  <w:shd w:fill="auto" w:val="clear"/>
                                  <w:vAlign w:val="center"/>
                                </w:tcPr>
                                <w:p>
                                  <w:pPr>
                                    <w:pStyle w:val="TableContents"/>
                                    <w:spacing w:before="0" w:after="283"/>
                                    <w:rPr>
                                      <w:sz w:val="4"/>
                                      <w:szCs w:val="4"/>
                                    </w:rPr>
                                  </w:pPr>
                                  <w:r>
                                    <w:rPr>
                                      <w:sz w:val="4"/>
                                      <w:szCs w:val="4"/>
                                    </w:rPr>
                                  </w:r>
                                </w:p>
                              </w:tc>
                              <w:tc>
                                <w:tcPr>
                                  <w:tcW w:w="69" w:type="dxa"/>
                                  <w:gridSpan w:val="2"/>
                                  <w:tcBorders/>
                                  <w:shd w:fill="auto" w:val="clear"/>
                                  <w:vAlign w:val="center"/>
                                </w:tcPr>
                                <w:p>
                                  <w:pPr>
                                    <w:pStyle w:val="TableContents"/>
                                    <w:spacing w:before="0" w:after="283"/>
                                    <w:rPr>
                                      <w:sz w:val="4"/>
                                      <w:szCs w:val="4"/>
                                    </w:rPr>
                                  </w:pPr>
                                  <w:r>
                                    <w:rPr>
                                      <w:sz w:val="4"/>
                                      <w:szCs w:val="4"/>
                                    </w:rPr>
                                  </w:r>
                                </w:p>
                              </w:tc>
                            </w:tr>
                            <w:tr>
                              <w:trPr/>
                              <w:tc>
                                <w:tcPr>
                                  <w:tcW w:w="386" w:type="dxa"/>
                                  <w:tcBorders/>
                                  <w:shd w:fill="auto" w:val="clea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0"/>
                                    <w:rPr>
                                      <w:rFonts w:ascii="Times New Roman" w:hAnsi="Times New Roman"/>
                                      <w:sz w:val="14"/>
                                    </w:rPr>
                                  </w:pPr>
                                  <w:r>
                                    <w:rPr>
                                      <w:rFonts w:ascii="Times New Roman" w:hAnsi="Times New Roman"/>
                                      <w:sz w:val="14"/>
                                    </w:rPr>
                                    <w:t>01)  Hugh E. Sawyer</w:t>
                                  </w:r>
                                </w:p>
                              </w:tc>
                              <w:tc>
                                <w:tcPr>
                                  <w:tcW w:w="57" w:type="dxa"/>
                                  <w:tcBorders/>
                                  <w:shd w:fill="auto" w:val="clear"/>
                                  <w:vAlign w:val="bottom"/>
                                </w:tcPr>
                                <w:p>
                                  <w:pPr>
                                    <w:pStyle w:val="TableContents"/>
                                    <w:spacing w:before="0" w:after="283"/>
                                    <w:rPr/>
                                  </w:pPr>
                                  <w:r>
                                    <w:rPr/>
                                    <w:t>  </w:t>
                                  </w:r>
                                </w:p>
                              </w:tc>
                              <w:tc>
                                <w:tcPr>
                                  <w:tcW w:w="12" w:type="dxa"/>
                                  <w:tcBorders/>
                                  <w:shd w:fill="auto" w:val="clear"/>
                                  <w:vAlign w:val="bottom"/>
                                </w:tcPr>
                                <w:p>
                                  <w:pPr>
                                    <w:pStyle w:val="TableContents"/>
                                    <w:spacing w:before="0" w:after="283"/>
                                    <w:rPr>
                                      <w:sz w:val="4"/>
                                      <w:szCs w:val="4"/>
                                    </w:rPr>
                                  </w:pPr>
                                  <w:r>
                                    <w:rPr>
                                      <w:sz w:val="4"/>
                                      <w:szCs w:val="4"/>
                                    </w:rPr>
                                  </w:r>
                                </w:p>
                              </w:tc>
                            </w:tr>
                            <w:tr>
                              <w:trPr/>
                              <w:tc>
                                <w:tcPr>
                                  <w:tcW w:w="386" w:type="dxa"/>
                                  <w:tcBorders/>
                                  <w:shd w:fill="auto" w:val="clea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0"/>
                                    <w:rPr>
                                      <w:rFonts w:ascii="Times New Roman" w:hAnsi="Times New Roman"/>
                                      <w:sz w:val="14"/>
                                    </w:rPr>
                                  </w:pPr>
                                  <w:r>
                                    <w:rPr>
                                      <w:rFonts w:ascii="Times New Roman" w:hAnsi="Times New Roman"/>
                                      <w:sz w:val="14"/>
                                    </w:rPr>
                                    <w:t>02)  Debra L. Zumwalt</w:t>
                                  </w:r>
                                </w:p>
                              </w:tc>
                              <w:tc>
                                <w:tcPr>
                                  <w:tcW w:w="57" w:type="dxa"/>
                                  <w:tcBorders/>
                                  <w:shd w:fill="auto" w:val="clear"/>
                                  <w:vAlign w:val="bottom"/>
                                </w:tcPr>
                                <w:p>
                                  <w:pPr>
                                    <w:pStyle w:val="TableContents"/>
                                    <w:spacing w:before="0" w:after="283"/>
                                    <w:rPr/>
                                  </w:pPr>
                                  <w:r>
                                    <w:rPr/>
                                    <w:t>  </w:t>
                                  </w:r>
                                </w:p>
                              </w:tc>
                              <w:tc>
                                <w:tcPr>
                                  <w:tcW w:w="12" w:type="dxa"/>
                                  <w:tcBorders/>
                                  <w:shd w:fill="auto" w:val="clear"/>
                                  <w:vAlign w:val="bottom"/>
                                </w:tcPr>
                                <w:p>
                                  <w:pPr>
                                    <w:pStyle w:val="TableContents"/>
                                    <w:spacing w:before="0" w:after="283"/>
                                    <w:rPr>
                                      <w:sz w:val="4"/>
                                      <w:szCs w:val="4"/>
                                    </w:rPr>
                                  </w:pPr>
                                  <w:r>
                                    <w:rPr>
                                      <w:sz w:val="4"/>
                                      <w:szCs w:val="4"/>
                                    </w:rPr>
                                  </w:r>
                                </w:p>
                              </w:tc>
                            </w:tr>
                          </w:tbl>
                          <w:p>
                            <w:pPr>
                              <w:pStyle w:val="TextBody"/>
                              <w:spacing w:before="0" w:after="283"/>
                              <w:rPr/>
                            </w:pPr>
                            <w:r>
                              <w:rPr/>
                            </w:r>
                          </w:p>
                        </w:txbxContent>
                      </wps:txbx>
                      <wps:bodyPr anchor="t" lIns="0" tIns="0" rIns="0" bIns="0">
                        <a:noAutofit/>
                      </wps:bodyPr>
                    </wps:wsp>
                  </a:graphicData>
                </a:graphic>
                <wp14:sizeRelH relativeFrom="margin">
                  <wp14:pctWidth>48000</wp14:pctWidth>
                </wp14:sizeRelH>
              </wp:anchor>
            </w:drawing>
          </mc:Choice>
          <mc:Fallback>
            <w:pict>
              <v:rect style="position:absolute;rotation:0;width:244.9pt;height:374.5pt;mso-wrap-distance-left:0pt;mso-wrap-distance-right:0pt;mso-wrap-distance-top:0pt;mso-wrap-distance-bottom:0pt;margin-top:0pt;mso-position-vertical:top;mso-position-vertical-relative:text;margin-left:0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352"/>
                        <w:gridCol w:w="581"/>
                        <w:gridCol w:w="2368"/>
                        <w:gridCol w:w="57"/>
                        <w:gridCol w:w="28"/>
                        <w:gridCol w:w="225"/>
                        <w:gridCol w:w="29"/>
                        <w:gridCol w:w="56"/>
                        <w:gridCol w:w="29"/>
                        <w:gridCol w:w="591"/>
                        <w:gridCol w:w="29"/>
                        <w:gridCol w:w="57"/>
                        <w:gridCol w:w="28"/>
                        <w:gridCol w:w="436"/>
                        <w:gridCol w:w="32"/>
                      </w:tblGrid>
                      <w:tr>
                        <w:trPr/>
                        <w:tc>
                          <w:tcPr>
                            <w:tcW w:w="352" w:type="dxa"/>
                            <w:tcBorders/>
                            <w:shd w:fill="auto" w:val="clear"/>
                            <w:vAlign w:val="center"/>
                          </w:tcPr>
                          <w:p>
                            <w:pPr>
                              <w:pStyle w:val="TableContents"/>
                              <w:spacing w:before="0" w:after="283"/>
                              <w:rPr>
                                <w:sz w:val="4"/>
                                <w:szCs w:val="4"/>
                              </w:rPr>
                            </w:pPr>
                            <w:r>
                              <w:rPr>
                                <w:sz w:val="4"/>
                                <w:szCs w:val="4"/>
                              </w:rPr>
                            </w:r>
                          </w:p>
                        </w:tc>
                        <w:tc>
                          <w:tcPr>
                            <w:tcW w:w="581" w:type="dxa"/>
                            <w:tcBorders/>
                            <w:shd w:fill="auto" w:val="clear"/>
                            <w:vAlign w:val="bottom"/>
                          </w:tcPr>
                          <w:p>
                            <w:pPr>
                              <w:pStyle w:val="TableContents"/>
                              <w:spacing w:before="0" w:after="283"/>
                              <w:rPr>
                                <w:sz w:val="4"/>
                                <w:szCs w:val="4"/>
                              </w:rPr>
                            </w:pPr>
                            <w:r>
                              <w:rPr>
                                <w:sz w:val="4"/>
                                <w:szCs w:val="4"/>
                              </w:rPr>
                            </w:r>
                          </w:p>
                        </w:tc>
                        <w:tc>
                          <w:tcPr>
                            <w:tcW w:w="2368"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bottom"/>
                          </w:tcPr>
                          <w:p>
                            <w:pPr>
                              <w:pStyle w:val="TableContents"/>
                              <w:spacing w:before="0" w:after="283"/>
                              <w:rPr>
                                <w:sz w:val="4"/>
                                <w:szCs w:val="4"/>
                              </w:rPr>
                            </w:pPr>
                            <w:r>
                              <w:rPr>
                                <w:sz w:val="4"/>
                                <w:szCs w:val="4"/>
                              </w:rPr>
                            </w:r>
                          </w:p>
                        </w:tc>
                        <w:tc>
                          <w:tcPr>
                            <w:tcW w:w="28" w:type="dxa"/>
                            <w:tcBorders/>
                            <w:shd w:fill="auto" w:val="clear"/>
                            <w:vAlign w:val="center"/>
                          </w:tcPr>
                          <w:p>
                            <w:pPr>
                              <w:pStyle w:val="TableContents"/>
                              <w:spacing w:before="0" w:after="283"/>
                              <w:rPr>
                                <w:sz w:val="4"/>
                                <w:szCs w:val="4"/>
                              </w:rPr>
                            </w:pPr>
                            <w:r>
                              <w:rPr>
                                <w:sz w:val="4"/>
                                <w:szCs w:val="4"/>
                              </w:rPr>
                            </w:r>
                          </w:p>
                        </w:tc>
                        <w:tc>
                          <w:tcPr>
                            <w:tcW w:w="225" w:type="dxa"/>
                            <w:tcBorders/>
                            <w:shd w:fill="auto" w:val="clear"/>
                            <w:vAlign w:val="center"/>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56" w:type="dxa"/>
                            <w:tcBorders/>
                            <w:shd w:fill="auto" w:val="clear"/>
                            <w:vAlign w:val="bottom"/>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591" w:type="dxa"/>
                            <w:tcBorders/>
                            <w:shd w:fill="auto" w:val="clear"/>
                            <w:vAlign w:val="center"/>
                          </w:tcPr>
                          <w:p>
                            <w:pPr>
                              <w:pStyle w:val="TableContents"/>
                              <w:spacing w:before="0" w:after="283"/>
                              <w:rPr>
                                <w:sz w:val="4"/>
                                <w:szCs w:val="4"/>
                              </w:rPr>
                            </w:pPr>
                            <w:r>
                              <w:rPr>
                                <w:sz w:val="4"/>
                                <w:szCs w:val="4"/>
                              </w:rPr>
                            </w:r>
                          </w:p>
                        </w:tc>
                        <w:tc>
                          <w:tcPr>
                            <w:tcW w:w="29"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bottom"/>
                          </w:tcPr>
                          <w:p>
                            <w:pPr>
                              <w:pStyle w:val="TableContents"/>
                              <w:spacing w:before="0" w:after="283"/>
                              <w:rPr>
                                <w:sz w:val="4"/>
                                <w:szCs w:val="4"/>
                              </w:rPr>
                            </w:pPr>
                            <w:r>
                              <w:rPr>
                                <w:sz w:val="4"/>
                                <w:szCs w:val="4"/>
                              </w:rPr>
                            </w:r>
                          </w:p>
                        </w:tc>
                        <w:tc>
                          <w:tcPr>
                            <w:tcW w:w="28" w:type="dxa"/>
                            <w:tcBorders/>
                            <w:shd w:fill="auto" w:val="clear"/>
                            <w:vAlign w:val="center"/>
                          </w:tcPr>
                          <w:p>
                            <w:pPr>
                              <w:pStyle w:val="TableContents"/>
                              <w:spacing w:before="0" w:after="283"/>
                              <w:rPr>
                                <w:sz w:val="4"/>
                                <w:szCs w:val="4"/>
                              </w:rPr>
                            </w:pPr>
                            <w:r>
                              <w:rPr>
                                <w:sz w:val="4"/>
                                <w:szCs w:val="4"/>
                              </w:rPr>
                            </w:r>
                          </w:p>
                        </w:tc>
                        <w:tc>
                          <w:tcPr>
                            <w:tcW w:w="436" w:type="dxa"/>
                            <w:tcBorders/>
                            <w:shd w:fill="auto" w:val="clear"/>
                            <w:vAlign w:val="center"/>
                          </w:tcPr>
                          <w:p>
                            <w:pPr>
                              <w:pStyle w:val="TableContents"/>
                              <w:spacing w:before="0" w:after="283"/>
                              <w:rPr>
                                <w:sz w:val="4"/>
                                <w:szCs w:val="4"/>
                              </w:rPr>
                            </w:pPr>
                            <w:r>
                              <w:rPr>
                                <w:sz w:val="4"/>
                                <w:szCs w:val="4"/>
                              </w:rPr>
                            </w:r>
                          </w:p>
                        </w:tc>
                        <w:tc>
                          <w:tcPr>
                            <w:tcW w:w="32" w:type="dxa"/>
                            <w:tcBorders/>
                            <w:shd w:fill="auto" w:val="clear"/>
                            <w:vAlign w:val="center"/>
                          </w:tcPr>
                          <w:p>
                            <w:pPr>
                              <w:pStyle w:val="TableContents"/>
                              <w:spacing w:before="0" w:after="283"/>
                              <w:rPr>
                                <w:sz w:val="4"/>
                                <w:szCs w:val="4"/>
                              </w:rPr>
                            </w:pPr>
                            <w:r>
                              <w:rPr>
                                <w:sz w:val="4"/>
                                <w:szCs w:val="4"/>
                              </w:rPr>
                            </w:r>
                          </w:p>
                        </w:tc>
                      </w:tr>
                      <w:tr>
                        <w:trPr/>
                        <w:tc>
                          <w:tcPr>
                            <w:tcW w:w="3301" w:type="dxa"/>
                            <w:gridSpan w:val="3"/>
                            <w:tcBorders/>
                            <w:shd w:fill="auto" w:val="clear"/>
                            <w:vAlign w:val="bottom"/>
                          </w:tcPr>
                          <w:p>
                            <w:pPr>
                              <w:pStyle w:val="TableContents"/>
                              <w:spacing w:before="0" w:after="283"/>
                              <w:rPr/>
                            </w:pPr>
                            <w:r>
                              <w:rPr/>
                              <w:t>  </w:t>
                            </w:r>
                            <w:r>
                              <w:rPr>
                                <w:b/>
                              </w:rPr>
                              <w:t>HURON CONSULTING GROUP INC.</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center"/>
                              <w:rPr>
                                <w:b/>
                              </w:rPr>
                            </w:pPr>
                            <w:r>
                              <w:rPr>
                                <w:b/>
                              </w:rPr>
                              <w:t>For</w:t>
                            </w:r>
                          </w:p>
                        </w:tc>
                        <w:tc>
                          <w:tcPr>
                            <w:tcW w:w="29" w:type="dxa"/>
                            <w:tcBorders/>
                            <w:shd w:fill="auto" w:val="clear"/>
                            <w:vAlign w:val="bottom"/>
                          </w:tcPr>
                          <w:p>
                            <w:pPr>
                              <w:pStyle w:val="TableContents"/>
                              <w:spacing w:before="0" w:after="283"/>
                              <w:rPr/>
                            </w:pPr>
                            <w:r>
                              <w:rPr/>
                              <w:t> </w:t>
                            </w:r>
                          </w:p>
                        </w:tc>
                        <w:tc>
                          <w:tcPr>
                            <w:tcW w:w="56"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center"/>
                              <w:rPr>
                                <w:b/>
                              </w:rPr>
                            </w:pPr>
                            <w:r>
                              <w:rPr>
                                <w:b/>
                              </w:rPr>
                              <w:t>Withhold</w:t>
                            </w:r>
                          </w:p>
                        </w:tc>
                        <w:tc>
                          <w:tcPr>
                            <w:tcW w:w="29" w:type="dxa"/>
                            <w:tcBorders/>
                            <w:shd w:fill="auto" w:val="clear"/>
                            <w:vAlign w:val="bottom"/>
                          </w:tcPr>
                          <w:p>
                            <w:pPr>
                              <w:pStyle w:val="TableContents"/>
                              <w:spacing w:before="0" w:after="283"/>
                              <w:rPr/>
                            </w:pPr>
                            <w:r>
                              <w:rPr/>
                              <w:t> </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jc w:val="center"/>
                              <w:rPr>
                                <w:b/>
                              </w:rPr>
                            </w:pPr>
                            <w:r>
                              <w:rPr>
                                <w:b/>
                              </w:rPr>
                              <w:t>For All</w:t>
                            </w:r>
                          </w:p>
                        </w:tc>
                        <w:tc>
                          <w:tcPr>
                            <w:tcW w:w="32" w:type="dxa"/>
                            <w:tcBorders/>
                            <w:shd w:fill="auto" w:val="clear"/>
                            <w:vAlign w:val="bottom"/>
                          </w:tcPr>
                          <w:p>
                            <w:pPr>
                              <w:pStyle w:val="TableContents"/>
                              <w:spacing w:before="0" w:after="283"/>
                              <w:rPr/>
                            </w:pPr>
                            <w:r>
                              <w:rPr/>
                              <w:t> </w:t>
                            </w:r>
                          </w:p>
                        </w:tc>
                      </w:tr>
                      <w:tr>
                        <w:trPr/>
                        <w:tc>
                          <w:tcPr>
                            <w:tcW w:w="352" w:type="dxa"/>
                            <w:tcBorders/>
                            <w:shd w:fill="auto" w:val="clear"/>
                            <w:vAlign w:val="bottom"/>
                          </w:tcPr>
                          <w:p>
                            <w:pPr>
                              <w:pStyle w:val="TableContents"/>
                              <w:spacing w:before="0" w:after="283"/>
                              <w:rPr>
                                <w:sz w:val="4"/>
                                <w:szCs w:val="4"/>
                              </w:rPr>
                            </w:pPr>
                            <w:r>
                              <w:rPr>
                                <w:sz w:val="4"/>
                                <w:szCs w:val="4"/>
                              </w:rPr>
                            </w:r>
                          </w:p>
                        </w:tc>
                        <w:tc>
                          <w:tcPr>
                            <w:tcW w:w="581" w:type="dxa"/>
                            <w:tcBorders/>
                            <w:shd w:fill="auto" w:val="clear"/>
                            <w:vAlign w:val="bottom"/>
                          </w:tcPr>
                          <w:p>
                            <w:pPr>
                              <w:pStyle w:val="TableContents"/>
                              <w:spacing w:before="0" w:after="283"/>
                              <w:rPr/>
                            </w:pPr>
                            <w:r>
                              <w:rPr/>
                              <w:t>  </w:t>
                            </w:r>
                          </w:p>
                        </w:tc>
                        <w:tc>
                          <w:tcPr>
                            <w:tcW w:w="2368" w:type="dxa"/>
                            <w:tcBorders/>
                            <w:shd w:fill="auto" w:val="clear"/>
                            <w:vAlign w:val="bottom"/>
                          </w:tcPr>
                          <w:p>
                            <w:pPr>
                              <w:pStyle w:val="TableContents"/>
                              <w:spacing w:before="0" w:after="283"/>
                              <w:rPr>
                                <w:sz w:val="4"/>
                                <w:szCs w:val="4"/>
                              </w:rPr>
                            </w:pPr>
                            <w:r>
                              <w:rPr>
                                <w:sz w:val="4"/>
                                <w:szCs w:val="4"/>
                              </w:rPr>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center"/>
                              <w:rPr>
                                <w:b/>
                              </w:rPr>
                            </w:pPr>
                            <w:r>
                              <w:rPr>
                                <w:b/>
                              </w:rPr>
                              <w:t>All</w:t>
                            </w:r>
                          </w:p>
                        </w:tc>
                        <w:tc>
                          <w:tcPr>
                            <w:tcW w:w="29" w:type="dxa"/>
                            <w:tcBorders/>
                            <w:shd w:fill="auto" w:val="clear"/>
                            <w:vAlign w:val="bottom"/>
                          </w:tcPr>
                          <w:p>
                            <w:pPr>
                              <w:pStyle w:val="TableContents"/>
                              <w:spacing w:before="0" w:after="283"/>
                              <w:rPr/>
                            </w:pPr>
                            <w:r>
                              <w:rPr/>
                              <w:t> </w:t>
                            </w:r>
                          </w:p>
                        </w:tc>
                        <w:tc>
                          <w:tcPr>
                            <w:tcW w:w="56"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center"/>
                              <w:rPr>
                                <w:b/>
                              </w:rPr>
                            </w:pPr>
                            <w:r>
                              <w:rPr>
                                <w:b/>
                              </w:rPr>
                              <w:t>All</w:t>
                            </w:r>
                          </w:p>
                        </w:tc>
                        <w:tc>
                          <w:tcPr>
                            <w:tcW w:w="29" w:type="dxa"/>
                            <w:tcBorders/>
                            <w:shd w:fill="auto" w:val="clear"/>
                            <w:vAlign w:val="bottom"/>
                          </w:tcPr>
                          <w:p>
                            <w:pPr>
                              <w:pStyle w:val="TableContents"/>
                              <w:spacing w:before="0" w:after="283"/>
                              <w:rPr/>
                            </w:pPr>
                            <w:r>
                              <w:rPr/>
                              <w:t> </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jc w:val="center"/>
                              <w:rPr>
                                <w:b/>
                              </w:rPr>
                            </w:pPr>
                            <w:r>
                              <w:rPr>
                                <w:b/>
                              </w:rPr>
                              <w:t>Except</w:t>
                            </w:r>
                          </w:p>
                        </w:tc>
                        <w:tc>
                          <w:tcPr>
                            <w:tcW w:w="32" w:type="dxa"/>
                            <w:tcBorders/>
                            <w:shd w:fill="auto" w:val="clear"/>
                            <w:vAlign w:val="bottom"/>
                          </w:tcPr>
                          <w:p>
                            <w:pPr>
                              <w:pStyle w:val="TableContents"/>
                              <w:spacing w:before="0" w:after="283"/>
                              <w:rPr/>
                            </w:pPr>
                            <w:r>
                              <w:rPr/>
                              <w:t> </w:t>
                            </w:r>
                          </w:p>
                        </w:tc>
                      </w:tr>
                      <w:tr>
                        <w:trPr/>
                        <w:tc>
                          <w:tcPr>
                            <w:tcW w:w="3301" w:type="dxa"/>
                            <w:gridSpan w:val="3"/>
                            <w:tcBorders/>
                            <w:shd w:fill="auto" w:val="clear"/>
                          </w:tcPr>
                          <w:p>
                            <w:pPr>
                              <w:pStyle w:val="TableContents"/>
                              <w:spacing w:before="0" w:after="0"/>
                              <w:rPr>
                                <w:rFonts w:ascii="Times New Roman" w:hAnsi="Times New Roman"/>
                                <w:b/>
                                <w:sz w:val="14"/>
                              </w:rPr>
                            </w:pPr>
                            <w:r>
                              <w:rPr>
                                <w:rFonts w:ascii="Times New Roman" w:hAnsi="Times New Roman"/>
                                <w:b/>
                                <w:sz w:val="14"/>
                              </w:rPr>
                              <w:t>The Board of Directors recommends you vote FOR the following:</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sz w:val="4"/>
                                <w:szCs w:val="4"/>
                              </w:rPr>
                            </w:pPr>
                            <w:r>
                              <w:rPr>
                                <w:sz w:val="4"/>
                                <w:szCs w:val="4"/>
                              </w:rPr>
                            </w:r>
                          </w:p>
                        </w:tc>
                        <w:tc>
                          <w:tcPr>
                            <w:tcW w:w="225" w:type="dxa"/>
                            <w:tcBorders/>
                            <w:shd w:fill="auto" w:val="clear"/>
                            <w:vAlign w:val="bottom"/>
                          </w:tcPr>
                          <w:p>
                            <w:pPr>
                              <w:pStyle w:val="TableContents"/>
                              <w:spacing w:before="0" w:after="283"/>
                              <w:rPr>
                                <w:sz w:val="4"/>
                                <w:szCs w:val="4"/>
                              </w:rPr>
                            </w:pPr>
                            <w:r>
                              <w:rPr>
                                <w:sz w:val="4"/>
                                <w:szCs w:val="4"/>
                              </w:rPr>
                            </w:r>
                          </w:p>
                        </w:tc>
                        <w:tc>
                          <w:tcPr>
                            <w:tcW w:w="29" w:type="dxa"/>
                            <w:tcBorders/>
                            <w:shd w:fill="auto" w:val="clear"/>
                            <w:vAlign w:val="bottom"/>
                          </w:tcPr>
                          <w:p>
                            <w:pPr>
                              <w:pStyle w:val="TableContents"/>
                              <w:spacing w:before="0" w:after="283"/>
                              <w:rPr>
                                <w:sz w:val="4"/>
                                <w:szCs w:val="4"/>
                              </w:rPr>
                            </w:pPr>
                            <w:r>
                              <w:rPr>
                                <w:sz w:val="4"/>
                                <w:szCs w:val="4"/>
                              </w:rPr>
                            </w:r>
                          </w:p>
                        </w:tc>
                        <w:tc>
                          <w:tcPr>
                            <w:tcW w:w="56"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sz w:val="4"/>
                                <w:szCs w:val="4"/>
                              </w:rPr>
                            </w:pPr>
                            <w:r>
                              <w:rPr>
                                <w:sz w:val="4"/>
                                <w:szCs w:val="4"/>
                              </w:rPr>
                            </w:r>
                          </w:p>
                        </w:tc>
                        <w:tc>
                          <w:tcPr>
                            <w:tcW w:w="591" w:type="dxa"/>
                            <w:tcBorders/>
                            <w:shd w:fill="auto" w:val="clear"/>
                            <w:vAlign w:val="bottom"/>
                          </w:tcPr>
                          <w:p>
                            <w:pPr>
                              <w:pStyle w:val="TableContents"/>
                              <w:spacing w:before="0" w:after="283"/>
                              <w:rPr>
                                <w:sz w:val="4"/>
                                <w:szCs w:val="4"/>
                              </w:rPr>
                            </w:pPr>
                            <w:r>
                              <w:rPr>
                                <w:sz w:val="4"/>
                                <w:szCs w:val="4"/>
                              </w:rPr>
                            </w:r>
                          </w:p>
                        </w:tc>
                        <w:tc>
                          <w:tcPr>
                            <w:tcW w:w="29" w:type="dxa"/>
                            <w:tcBorders/>
                            <w:shd w:fill="auto" w:val="clear"/>
                            <w:vAlign w:val="bottom"/>
                          </w:tcPr>
                          <w:p>
                            <w:pPr>
                              <w:pStyle w:val="TableContents"/>
                              <w:spacing w:before="0" w:after="283"/>
                              <w:rPr>
                                <w:sz w:val="4"/>
                                <w:szCs w:val="4"/>
                              </w:rPr>
                            </w:pPr>
                            <w:r>
                              <w:rPr>
                                <w:sz w:val="4"/>
                                <w:szCs w:val="4"/>
                              </w:rPr>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sz w:val="4"/>
                                <w:szCs w:val="4"/>
                              </w:rPr>
                            </w:pPr>
                            <w:r>
                              <w:rPr>
                                <w:sz w:val="4"/>
                                <w:szCs w:val="4"/>
                              </w:rPr>
                            </w:r>
                          </w:p>
                        </w:tc>
                        <w:tc>
                          <w:tcPr>
                            <w:tcW w:w="436" w:type="dxa"/>
                            <w:tcBorders/>
                            <w:shd w:fill="auto" w:val="clear"/>
                            <w:vAlign w:val="bottom"/>
                          </w:tcPr>
                          <w:p>
                            <w:pPr>
                              <w:pStyle w:val="TableContents"/>
                              <w:spacing w:before="0" w:after="283"/>
                              <w:rPr>
                                <w:sz w:val="4"/>
                                <w:szCs w:val="4"/>
                              </w:rPr>
                            </w:pPr>
                            <w:r>
                              <w:rPr>
                                <w:sz w:val="4"/>
                                <w:szCs w:val="4"/>
                              </w:rPr>
                            </w:r>
                          </w:p>
                        </w:tc>
                        <w:tc>
                          <w:tcPr>
                            <w:tcW w:w="3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3301" w:type="dxa"/>
                            <w:gridSpan w:val="3"/>
                            <w:tcBorders/>
                            <w:shd w:fill="auto" w:val="clear"/>
                            <w:vAlign w:val="center"/>
                          </w:tcPr>
                          <w:p>
                            <w:pPr>
                              <w:pStyle w:val="TableContents"/>
                              <w:spacing w:before="0" w:after="283"/>
                              <w:rPr>
                                <w:sz w:val="4"/>
                                <w:szCs w:val="4"/>
                              </w:rPr>
                            </w:pPr>
                            <w:r>
                              <w:rPr>
                                <w:sz w:val="4"/>
                                <w:szCs w:val="4"/>
                              </w:rPr>
                            </w:r>
                          </w:p>
                        </w:tc>
                        <w:tc>
                          <w:tcPr>
                            <w:tcW w:w="339" w:type="dxa"/>
                            <w:gridSpan w:val="4"/>
                            <w:tcBorders/>
                            <w:shd w:fill="auto" w:val="clear"/>
                            <w:vAlign w:val="center"/>
                          </w:tcPr>
                          <w:p>
                            <w:pPr>
                              <w:pStyle w:val="TableContents"/>
                              <w:spacing w:before="0" w:after="283"/>
                              <w:rPr>
                                <w:sz w:val="4"/>
                                <w:szCs w:val="4"/>
                              </w:rPr>
                            </w:pPr>
                            <w:r>
                              <w:rPr>
                                <w:sz w:val="4"/>
                                <w:szCs w:val="4"/>
                              </w:rPr>
                            </w:r>
                          </w:p>
                        </w:tc>
                        <w:tc>
                          <w:tcPr>
                            <w:tcW w:w="705" w:type="dxa"/>
                            <w:gridSpan w:val="4"/>
                            <w:tcBorders/>
                            <w:shd w:fill="auto" w:val="clear"/>
                            <w:vAlign w:val="center"/>
                          </w:tcPr>
                          <w:p>
                            <w:pPr>
                              <w:pStyle w:val="TableContents"/>
                              <w:spacing w:before="0" w:after="283"/>
                              <w:rPr>
                                <w:sz w:val="4"/>
                                <w:szCs w:val="4"/>
                              </w:rPr>
                            </w:pPr>
                            <w:r>
                              <w:rPr>
                                <w:sz w:val="4"/>
                                <w:szCs w:val="4"/>
                              </w:rPr>
                            </w:r>
                          </w:p>
                        </w:tc>
                        <w:tc>
                          <w:tcPr>
                            <w:tcW w:w="553" w:type="dxa"/>
                            <w:gridSpan w:val="4"/>
                            <w:tcBorders/>
                            <w:shd w:fill="auto" w:val="clear"/>
                            <w:vAlign w:val="center"/>
                          </w:tcPr>
                          <w:p>
                            <w:pPr>
                              <w:pStyle w:val="TableContents"/>
                              <w:spacing w:before="0" w:after="283"/>
                              <w:rPr>
                                <w:sz w:val="4"/>
                                <w:szCs w:val="4"/>
                              </w:rPr>
                            </w:pPr>
                            <w:r>
                              <w:rPr>
                                <w:sz w:val="4"/>
                                <w:szCs w:val="4"/>
                              </w:rPr>
                            </w:r>
                          </w:p>
                        </w:tc>
                      </w:tr>
                      <w:tr>
                        <w:trPr/>
                        <w:tc>
                          <w:tcPr>
                            <w:tcW w:w="3301" w:type="dxa"/>
                            <w:gridSpan w:val="3"/>
                            <w:tcBorders/>
                            <w:shd w:fill="auto" w:val="clear"/>
                          </w:tcPr>
                          <w:p>
                            <w:pPr>
                              <w:pStyle w:val="TableContents"/>
                              <w:spacing w:before="0" w:after="0"/>
                              <w:rPr>
                                <w:rFonts w:ascii="Times New Roman" w:hAnsi="Times New Roman"/>
                                <w:sz w:val="14"/>
                              </w:rPr>
                            </w:pPr>
                            <w:r>
                              <w:rPr>
                                <w:rFonts w:ascii="Times New Roman" w:hAnsi="Times New Roman"/>
                                <w:sz w:val="14"/>
                              </w:rPr>
                              <w:t>1.   Election of Directors*</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225" w:type="dxa"/>
                            <w:tcBorders/>
                            <w:shd w:fill="auto" w:val="clear"/>
                            <w:vAlign w:val="bottom"/>
                          </w:tcPr>
                          <w:p>
                            <w:pPr>
                              <w:pStyle w:val="TableContents"/>
                              <w:spacing w:before="0" w:after="283"/>
                              <w:jc w:val="center"/>
                              <w:rPr/>
                            </w:pPr>
                            <w:r>
                              <w:rPr/>
                              <w:t>☐</w:t>
                            </w:r>
                          </w:p>
                        </w:tc>
                        <w:tc>
                          <w:tcPr>
                            <w:tcW w:w="29" w:type="dxa"/>
                            <w:tcBorders/>
                            <w:shd w:fill="auto" w:val="clear"/>
                            <w:vAlign w:val="bottom"/>
                          </w:tcPr>
                          <w:p>
                            <w:pPr>
                              <w:pStyle w:val="TableContents"/>
                              <w:spacing w:before="0" w:after="283"/>
                              <w:rPr/>
                            </w:pPr>
                            <w:r>
                              <w:rPr/>
                              <w:t> </w:t>
                            </w:r>
                          </w:p>
                        </w:tc>
                        <w:tc>
                          <w:tcPr>
                            <w:tcW w:w="56" w:type="dxa"/>
                            <w:tcBorders/>
                            <w:shd w:fill="auto" w:val="clear"/>
                            <w:vAlign w:val="bottom"/>
                          </w:tcPr>
                          <w:p>
                            <w:pPr>
                              <w:pStyle w:val="TableContents"/>
                              <w:spacing w:before="0" w:after="283"/>
                              <w:rPr/>
                            </w:pPr>
                            <w:r>
                              <w:rPr/>
                              <w:t> </w:t>
                            </w:r>
                          </w:p>
                        </w:tc>
                        <w:tc>
                          <w:tcPr>
                            <w:tcW w:w="29" w:type="dxa"/>
                            <w:tcBorders/>
                            <w:shd w:fill="auto" w:val="clear"/>
                            <w:vAlign w:val="bottom"/>
                          </w:tcPr>
                          <w:p>
                            <w:pPr>
                              <w:pStyle w:val="TableContents"/>
                              <w:spacing w:before="0" w:after="283"/>
                              <w:rPr/>
                            </w:pPr>
                            <w:r>
                              <w:rPr/>
                              <w:t> </w:t>
                            </w:r>
                          </w:p>
                        </w:tc>
                        <w:tc>
                          <w:tcPr>
                            <w:tcW w:w="591" w:type="dxa"/>
                            <w:tcBorders/>
                            <w:shd w:fill="auto" w:val="clear"/>
                            <w:vAlign w:val="bottom"/>
                          </w:tcPr>
                          <w:p>
                            <w:pPr>
                              <w:pStyle w:val="TableContents"/>
                              <w:spacing w:before="0" w:after="283"/>
                              <w:jc w:val="center"/>
                              <w:rPr/>
                            </w:pPr>
                            <w:r>
                              <w:rPr/>
                              <w:t>☐</w:t>
                            </w:r>
                          </w:p>
                        </w:tc>
                        <w:tc>
                          <w:tcPr>
                            <w:tcW w:w="29" w:type="dxa"/>
                            <w:tcBorders/>
                            <w:shd w:fill="auto" w:val="clear"/>
                            <w:vAlign w:val="bottom"/>
                          </w:tcPr>
                          <w:p>
                            <w:pPr>
                              <w:pStyle w:val="TableContents"/>
                              <w:spacing w:before="0" w:after="283"/>
                              <w:rPr/>
                            </w:pPr>
                            <w:r>
                              <w:rPr/>
                              <w:t> </w:t>
                            </w:r>
                          </w:p>
                        </w:tc>
                        <w:tc>
                          <w:tcPr>
                            <w:tcW w:w="57" w:type="dxa"/>
                            <w:tcBorders/>
                            <w:shd w:fill="auto" w:val="clear"/>
                            <w:vAlign w:val="bottom"/>
                          </w:tcPr>
                          <w:p>
                            <w:pPr>
                              <w:pStyle w:val="TableContents"/>
                              <w:spacing w:before="0" w:after="283"/>
                              <w:rPr/>
                            </w:pPr>
                            <w:r>
                              <w:rPr/>
                              <w:t> </w:t>
                            </w:r>
                          </w:p>
                        </w:tc>
                        <w:tc>
                          <w:tcPr>
                            <w:tcW w:w="28" w:type="dxa"/>
                            <w:tcBorders/>
                            <w:shd w:fill="auto" w:val="clear"/>
                            <w:vAlign w:val="bottom"/>
                          </w:tcPr>
                          <w:p>
                            <w:pPr>
                              <w:pStyle w:val="TableContents"/>
                              <w:spacing w:before="0" w:after="283"/>
                              <w:rPr/>
                            </w:pPr>
                            <w:r>
                              <w:rPr/>
                              <w:t> </w:t>
                            </w:r>
                          </w:p>
                        </w:tc>
                        <w:tc>
                          <w:tcPr>
                            <w:tcW w:w="436" w:type="dxa"/>
                            <w:tcBorders/>
                            <w:shd w:fill="auto" w:val="clear"/>
                            <w:vAlign w:val="bottom"/>
                          </w:tcPr>
                          <w:p>
                            <w:pPr>
                              <w:pStyle w:val="TableContents"/>
                              <w:spacing w:before="0" w:after="283"/>
                              <w:jc w:val="center"/>
                              <w:rPr/>
                            </w:pPr>
                            <w:r>
                              <w:rPr/>
                              <w:t>☐</w:t>
                            </w:r>
                          </w:p>
                        </w:tc>
                        <w:tc>
                          <w:tcPr>
                            <w:tcW w:w="32" w:type="dxa"/>
                            <w:tcBorders/>
                            <w:shd w:fill="auto" w:val="clear"/>
                            <w:vAlign w:val="bottom"/>
                          </w:tcPr>
                          <w:p>
                            <w:pPr>
                              <w:pStyle w:val="TableContents"/>
                              <w:spacing w:before="0" w:after="283"/>
                              <w:rPr/>
                            </w:pPr>
                            <w:r>
                              <w:rPr/>
                              <w:t> </w:t>
                            </w:r>
                          </w:p>
                        </w:tc>
                      </w:tr>
                    </w:tbl>
                    <w:tbl>
                      <w:tblPr>
                        <w:tblW w:w="5000" w:type="pct"/>
                        <w:jc w:val="center"/>
                        <w:tblInd w:w="0" w:type="dxa"/>
                        <w:tblCellMar>
                          <w:top w:w="0" w:type="dxa"/>
                          <w:left w:w="0" w:type="dxa"/>
                          <w:bottom w:w="0" w:type="dxa"/>
                          <w:right w:w="0" w:type="dxa"/>
                        </w:tblCellMar>
                      </w:tblPr>
                      <w:tblGrid>
                        <w:gridCol w:w="386"/>
                        <w:gridCol w:w="192"/>
                        <w:gridCol w:w="4251"/>
                        <w:gridCol w:w="57"/>
                        <w:gridCol w:w="12"/>
                      </w:tblGrid>
                      <w:tr>
                        <w:trPr/>
                        <w:tc>
                          <w:tcPr>
                            <w:tcW w:w="386" w:type="dxa"/>
                            <w:tcBorders/>
                            <w:shd w:fill="auto" w:val="clear"/>
                            <w:vAlign w:val="cente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sz w:val="4"/>
                                <w:szCs w:val="4"/>
                              </w:rPr>
                            </w:pPr>
                            <w:r>
                              <w:rPr>
                                <w:sz w:val="4"/>
                                <w:szCs w:val="4"/>
                              </w:rPr>
                            </w:r>
                          </w:p>
                        </w:tc>
                        <w:tc>
                          <w:tcPr>
                            <w:tcW w:w="4251" w:type="dxa"/>
                            <w:tcBorders/>
                            <w:shd w:fill="auto" w:val="clear"/>
                            <w:vAlign w:val="center"/>
                          </w:tcPr>
                          <w:p>
                            <w:pPr>
                              <w:pStyle w:val="TableContents"/>
                              <w:spacing w:before="0" w:after="283"/>
                              <w:rPr>
                                <w:sz w:val="4"/>
                                <w:szCs w:val="4"/>
                              </w:rPr>
                            </w:pPr>
                            <w:r>
                              <w:rPr>
                                <w:sz w:val="4"/>
                                <w:szCs w:val="4"/>
                              </w:rPr>
                            </w:r>
                          </w:p>
                        </w:tc>
                        <w:tc>
                          <w:tcPr>
                            <w:tcW w:w="57" w:type="dxa"/>
                            <w:tcBorders/>
                            <w:shd w:fill="auto" w:val="clear"/>
                            <w:vAlign w:val="bottom"/>
                          </w:tcPr>
                          <w:p>
                            <w:pPr>
                              <w:pStyle w:val="TableContents"/>
                              <w:spacing w:before="0" w:after="283"/>
                              <w:rPr>
                                <w:sz w:val="4"/>
                                <w:szCs w:val="4"/>
                              </w:rPr>
                            </w:pPr>
                            <w:r>
                              <w:rPr>
                                <w:sz w:val="4"/>
                                <w:szCs w:val="4"/>
                              </w:rPr>
                            </w:r>
                          </w:p>
                        </w:tc>
                        <w:tc>
                          <w:tcPr>
                            <w:tcW w:w="12" w:type="dxa"/>
                            <w:tcBorders/>
                            <w:shd w:fill="auto" w:val="clear"/>
                            <w:vAlign w:val="center"/>
                          </w:tcPr>
                          <w:p>
                            <w:pPr>
                              <w:pStyle w:val="TableContents"/>
                              <w:spacing w:before="0" w:after="283"/>
                              <w:rPr>
                                <w:sz w:val="4"/>
                                <w:szCs w:val="4"/>
                              </w:rPr>
                            </w:pPr>
                            <w:r>
                              <w:rPr>
                                <w:sz w:val="4"/>
                                <w:szCs w:val="4"/>
                              </w:rPr>
                            </w:r>
                          </w:p>
                        </w:tc>
                      </w:tr>
                      <w:tr>
                        <w:trPr>
                          <w:trHeight w:val="30" w:hRule="atLeast"/>
                        </w:trPr>
                        <w:tc>
                          <w:tcPr>
                            <w:tcW w:w="4829" w:type="dxa"/>
                            <w:gridSpan w:val="3"/>
                            <w:tcBorders/>
                            <w:shd w:fill="auto" w:val="clear"/>
                            <w:vAlign w:val="center"/>
                          </w:tcPr>
                          <w:p>
                            <w:pPr>
                              <w:pStyle w:val="TableContents"/>
                              <w:spacing w:before="0" w:after="283"/>
                              <w:rPr>
                                <w:sz w:val="4"/>
                                <w:szCs w:val="4"/>
                              </w:rPr>
                            </w:pPr>
                            <w:r>
                              <w:rPr>
                                <w:sz w:val="4"/>
                                <w:szCs w:val="4"/>
                              </w:rPr>
                            </w:r>
                          </w:p>
                        </w:tc>
                        <w:tc>
                          <w:tcPr>
                            <w:tcW w:w="69" w:type="dxa"/>
                            <w:gridSpan w:val="2"/>
                            <w:tcBorders/>
                            <w:shd w:fill="auto" w:val="clear"/>
                            <w:vAlign w:val="center"/>
                          </w:tcPr>
                          <w:p>
                            <w:pPr>
                              <w:pStyle w:val="TableContents"/>
                              <w:spacing w:before="0" w:after="283"/>
                              <w:rPr>
                                <w:sz w:val="4"/>
                                <w:szCs w:val="4"/>
                              </w:rPr>
                            </w:pPr>
                            <w:r>
                              <w:rPr>
                                <w:sz w:val="4"/>
                                <w:szCs w:val="4"/>
                              </w:rPr>
                            </w:r>
                          </w:p>
                        </w:tc>
                      </w:tr>
                      <w:tr>
                        <w:trPr/>
                        <w:tc>
                          <w:tcPr>
                            <w:tcW w:w="4829" w:type="dxa"/>
                            <w:gridSpan w:val="3"/>
                            <w:tcBorders/>
                            <w:shd w:fill="auto" w:val="clear"/>
                            <w:vAlign w:val="bottom"/>
                          </w:tcPr>
                          <w:p>
                            <w:pPr>
                              <w:pStyle w:val="TableContents"/>
                              <w:spacing w:before="0" w:after="283"/>
                              <w:rPr/>
                            </w:pPr>
                            <w:r>
                              <w:rPr/>
                              <w:t>        </w:t>
                            </w:r>
                            <w:r>
                              <w:rPr>
                                <w:rFonts w:ascii="Times New Roman" w:hAnsi="Times New Roman"/>
                                <w:b/>
                              </w:rPr>
                              <w:t>Nominees:</w:t>
                            </w:r>
                          </w:p>
                        </w:tc>
                        <w:tc>
                          <w:tcPr>
                            <w:tcW w:w="57" w:type="dxa"/>
                            <w:tcBorders/>
                            <w:shd w:fill="auto" w:val="clear"/>
                            <w:vAlign w:val="bottom"/>
                          </w:tcPr>
                          <w:p>
                            <w:pPr>
                              <w:pStyle w:val="TableContents"/>
                              <w:spacing w:before="0" w:after="283"/>
                              <w:rPr/>
                            </w:pPr>
                            <w:r>
                              <w:rPr/>
                              <w:t>  </w:t>
                            </w:r>
                          </w:p>
                        </w:tc>
                        <w:tc>
                          <w:tcPr>
                            <w:tcW w:w="12" w:type="dxa"/>
                            <w:tcBorders/>
                            <w:shd w:fill="auto" w:val="clear"/>
                            <w:vAlign w:val="bottom"/>
                          </w:tcPr>
                          <w:p>
                            <w:pPr>
                              <w:pStyle w:val="TableContents"/>
                              <w:spacing w:before="0" w:after="283"/>
                              <w:rPr>
                                <w:sz w:val="4"/>
                                <w:szCs w:val="4"/>
                              </w:rPr>
                            </w:pPr>
                            <w:r>
                              <w:rPr>
                                <w:sz w:val="4"/>
                                <w:szCs w:val="4"/>
                              </w:rPr>
                            </w:r>
                          </w:p>
                        </w:tc>
                      </w:tr>
                      <w:tr>
                        <w:trPr>
                          <w:trHeight w:val="120" w:hRule="atLeast"/>
                        </w:trPr>
                        <w:tc>
                          <w:tcPr>
                            <w:tcW w:w="386" w:type="dxa"/>
                            <w:tcBorders/>
                            <w:shd w:fill="auto" w:val="clear"/>
                            <w:vAlign w:val="center"/>
                          </w:tcPr>
                          <w:p>
                            <w:pPr>
                              <w:pStyle w:val="TableContents"/>
                              <w:spacing w:before="0" w:after="283"/>
                              <w:rPr>
                                <w:sz w:val="4"/>
                                <w:szCs w:val="4"/>
                              </w:rPr>
                            </w:pPr>
                            <w:r>
                              <w:rPr>
                                <w:sz w:val="4"/>
                                <w:szCs w:val="4"/>
                              </w:rPr>
                            </w:r>
                          </w:p>
                        </w:tc>
                        <w:tc>
                          <w:tcPr>
                            <w:tcW w:w="4443" w:type="dxa"/>
                            <w:gridSpan w:val="2"/>
                            <w:tcBorders/>
                            <w:shd w:fill="auto" w:val="clear"/>
                            <w:vAlign w:val="center"/>
                          </w:tcPr>
                          <w:p>
                            <w:pPr>
                              <w:pStyle w:val="TableContents"/>
                              <w:spacing w:before="0" w:after="283"/>
                              <w:rPr>
                                <w:sz w:val="4"/>
                                <w:szCs w:val="4"/>
                              </w:rPr>
                            </w:pPr>
                            <w:r>
                              <w:rPr>
                                <w:sz w:val="4"/>
                                <w:szCs w:val="4"/>
                              </w:rPr>
                            </w:r>
                          </w:p>
                        </w:tc>
                        <w:tc>
                          <w:tcPr>
                            <w:tcW w:w="69" w:type="dxa"/>
                            <w:gridSpan w:val="2"/>
                            <w:tcBorders/>
                            <w:shd w:fill="auto" w:val="clear"/>
                            <w:vAlign w:val="center"/>
                          </w:tcPr>
                          <w:p>
                            <w:pPr>
                              <w:pStyle w:val="TableContents"/>
                              <w:spacing w:before="0" w:after="283"/>
                              <w:rPr>
                                <w:sz w:val="4"/>
                                <w:szCs w:val="4"/>
                              </w:rPr>
                            </w:pPr>
                            <w:r>
                              <w:rPr>
                                <w:sz w:val="4"/>
                                <w:szCs w:val="4"/>
                              </w:rPr>
                            </w:r>
                          </w:p>
                        </w:tc>
                      </w:tr>
                      <w:tr>
                        <w:trPr/>
                        <w:tc>
                          <w:tcPr>
                            <w:tcW w:w="386" w:type="dxa"/>
                            <w:tcBorders/>
                            <w:shd w:fill="auto" w:val="clea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0"/>
                              <w:rPr>
                                <w:rFonts w:ascii="Times New Roman" w:hAnsi="Times New Roman"/>
                                <w:sz w:val="14"/>
                              </w:rPr>
                            </w:pPr>
                            <w:r>
                              <w:rPr>
                                <w:rFonts w:ascii="Times New Roman" w:hAnsi="Times New Roman"/>
                                <w:sz w:val="14"/>
                              </w:rPr>
                              <w:t>01)  Hugh E. Sawyer</w:t>
                            </w:r>
                          </w:p>
                        </w:tc>
                        <w:tc>
                          <w:tcPr>
                            <w:tcW w:w="57" w:type="dxa"/>
                            <w:tcBorders/>
                            <w:shd w:fill="auto" w:val="clear"/>
                            <w:vAlign w:val="bottom"/>
                          </w:tcPr>
                          <w:p>
                            <w:pPr>
                              <w:pStyle w:val="TableContents"/>
                              <w:spacing w:before="0" w:after="283"/>
                              <w:rPr/>
                            </w:pPr>
                            <w:r>
                              <w:rPr/>
                              <w:t>  </w:t>
                            </w:r>
                          </w:p>
                        </w:tc>
                        <w:tc>
                          <w:tcPr>
                            <w:tcW w:w="12" w:type="dxa"/>
                            <w:tcBorders/>
                            <w:shd w:fill="auto" w:val="clear"/>
                            <w:vAlign w:val="bottom"/>
                          </w:tcPr>
                          <w:p>
                            <w:pPr>
                              <w:pStyle w:val="TableContents"/>
                              <w:spacing w:before="0" w:after="283"/>
                              <w:rPr>
                                <w:sz w:val="4"/>
                                <w:szCs w:val="4"/>
                              </w:rPr>
                            </w:pPr>
                            <w:r>
                              <w:rPr>
                                <w:sz w:val="4"/>
                                <w:szCs w:val="4"/>
                              </w:rPr>
                            </w:r>
                          </w:p>
                        </w:tc>
                      </w:tr>
                      <w:tr>
                        <w:trPr/>
                        <w:tc>
                          <w:tcPr>
                            <w:tcW w:w="386" w:type="dxa"/>
                            <w:tcBorders/>
                            <w:shd w:fill="auto" w:val="clear"/>
                          </w:tcPr>
                          <w:p>
                            <w:pPr>
                              <w:pStyle w:val="TableContents"/>
                              <w:spacing w:before="0" w:after="283"/>
                              <w:rPr>
                                <w:sz w:val="4"/>
                                <w:szCs w:val="4"/>
                              </w:rPr>
                            </w:pPr>
                            <w:r>
                              <w:rPr>
                                <w:sz w:val="4"/>
                                <w:szCs w:val="4"/>
                              </w:rPr>
                            </w:r>
                          </w:p>
                        </w:tc>
                        <w:tc>
                          <w:tcPr>
                            <w:tcW w:w="192" w:type="dxa"/>
                            <w:tcBorders/>
                            <w:shd w:fill="auto" w:val="clear"/>
                            <w:vAlign w:val="bottom"/>
                          </w:tcPr>
                          <w:p>
                            <w:pPr>
                              <w:pStyle w:val="TableContents"/>
                              <w:spacing w:before="0" w:after="283"/>
                              <w:rPr/>
                            </w:pPr>
                            <w:r>
                              <w:rPr/>
                              <w:t>  </w:t>
                            </w:r>
                          </w:p>
                        </w:tc>
                        <w:tc>
                          <w:tcPr>
                            <w:tcW w:w="4251" w:type="dxa"/>
                            <w:tcBorders/>
                            <w:shd w:fill="auto" w:val="clear"/>
                            <w:vAlign w:val="bottom"/>
                          </w:tcPr>
                          <w:p>
                            <w:pPr>
                              <w:pStyle w:val="TableContents"/>
                              <w:spacing w:before="0" w:after="0"/>
                              <w:rPr>
                                <w:rFonts w:ascii="Times New Roman" w:hAnsi="Times New Roman"/>
                                <w:sz w:val="14"/>
                              </w:rPr>
                            </w:pPr>
                            <w:r>
                              <w:rPr>
                                <w:rFonts w:ascii="Times New Roman" w:hAnsi="Times New Roman"/>
                                <w:sz w:val="14"/>
                              </w:rPr>
                              <w:t>02)  Debra L. Zumwalt</w:t>
                            </w:r>
                          </w:p>
                        </w:tc>
                        <w:tc>
                          <w:tcPr>
                            <w:tcW w:w="57" w:type="dxa"/>
                            <w:tcBorders/>
                            <w:shd w:fill="auto" w:val="clear"/>
                            <w:vAlign w:val="bottom"/>
                          </w:tcPr>
                          <w:p>
                            <w:pPr>
                              <w:pStyle w:val="TableContents"/>
                              <w:spacing w:before="0" w:after="283"/>
                              <w:rPr/>
                            </w:pPr>
                            <w:r>
                              <w:rPr/>
                              <w:t>  </w:t>
                            </w:r>
                          </w:p>
                        </w:tc>
                        <w:tc>
                          <w:tcPr>
                            <w:tcW w:w="12" w:type="dxa"/>
                            <w:tcBorders/>
                            <w:shd w:fill="auto" w:val="clear"/>
                            <w:vAlign w:val="bottom"/>
                          </w:tcPr>
                          <w:p>
                            <w:pPr>
                              <w:pStyle w:val="TableContents"/>
                              <w:spacing w:before="0" w:after="283"/>
                              <w:rPr>
                                <w:sz w:val="4"/>
                                <w:szCs w:val="4"/>
                              </w:rPr>
                            </w:pPr>
                            <w:r>
                              <w:rPr>
                                <w:sz w:val="4"/>
                                <w:szCs w:val="4"/>
                              </w:rPr>
                            </w:r>
                          </w:p>
                        </w:tc>
                      </w:tr>
                    </w:tbl>
                    <w:p>
                      <w:pPr>
                        <w:pStyle w:val="TextBody"/>
                        <w:spacing w:before="0" w:after="283"/>
                        <w:rPr/>
                      </w:pPr>
                      <w:r>
                        <w:rPr/>
                      </w:r>
                    </w:p>
                  </w:txbxContent>
                </v:textbox>
                <w10:wrap type="square" side="right"/>
              </v:rect>
            </w:pict>
          </mc:Fallback>
        </mc:AlternateContent>
      </w:r>
      <w:r>
        <mc:AlternateContent>
          <mc:Choice Requires="wps">
            <w:drawing>
              <wp:anchor behindDoc="0" distT="0" distB="0" distL="0" distR="0" simplePos="0" locked="0" layoutInCell="1" allowOverlap="1" relativeHeight="5">
                <wp:simplePos x="0" y="0"/>
                <wp:positionH relativeFrom="column">
                  <wp:align>left</wp:align>
                </wp:positionH>
                <wp:positionV relativeFrom="line">
                  <wp:posOffset>635</wp:posOffset>
                </wp:positionV>
                <wp:extent cx="3175000" cy="3078480"/>
                <wp:effectExtent l="0" t="0" r="0" b="0"/>
                <wp:wrapSquare wrapText="largest"/>
                <wp:docPr id="27" name="Frame2"/>
                <a:graphic xmlns:a="http://schemas.openxmlformats.org/drawingml/2006/main">
                  <a:graphicData uri="http://schemas.microsoft.com/office/word/2010/wordprocessingShape">
                    <wps:wsp>
                      <wps:cNvSpPr txBox="1"/>
                      <wps:spPr>
                        <a:xfrm>
                          <a:off x="0" y="0"/>
                          <a:ext cx="3175000" cy="3078480"/>
                        </a:xfrm>
                        <a:prstGeom prst="rect"/>
                      </wps:spPr>
                      <wps:txbx>
                        <w:txbxContent>
                          <w:tbl>
                            <w:tblPr>
                              <w:tblW w:w="5000" w:type="pct"/>
                              <w:jc w:val="center"/>
                              <w:tblInd w:w="0" w:type="dxa"/>
                              <w:tblCellMar>
                                <w:top w:w="0" w:type="dxa"/>
                                <w:left w:w="0" w:type="dxa"/>
                                <w:bottom w:w="0" w:type="dxa"/>
                                <w:right w:w="0" w:type="dxa"/>
                              </w:tblCellMar>
                            </w:tblPr>
                            <w:tblGrid>
                              <w:gridCol w:w="3654"/>
                              <w:gridCol w:w="59"/>
                              <w:gridCol w:w="342"/>
                              <w:gridCol w:w="50"/>
                              <w:gridCol w:w="372"/>
                              <w:gridCol w:w="51"/>
                              <w:gridCol w:w="472"/>
                            </w:tblGrid>
                            <w:tr>
                              <w:trPr/>
                              <w:tc>
                                <w:tcPr>
                                  <w:tcW w:w="3654"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3654" w:type="dxa"/>
                                  <w:vMerge w:val="restart"/>
                                  <w:tcBorders/>
                                  <w:shd w:fill="auto" w:val="clear"/>
                                </w:tcPr>
                                <w:p>
                                  <w:pPr>
                                    <w:pStyle w:val="TableContents"/>
                                    <w:spacing w:before="0" w:after="283"/>
                                    <w:rPr>
                                      <w:rFonts w:ascii="Times New Roman" w:hAnsi="Times New Roman"/>
                                    </w:rPr>
                                  </w:pPr>
                                  <w:r>
                                    <w:rPr>
                                      <w:rFonts w:ascii="Times New Roman" w:hAnsi="Times New Roman"/>
                                    </w:rPr>
                                    <w:t>To withhold authority to vote for any individual</w:t>
                                    <w:br/>
                                    <w:t>nominee(s), mark For All Except and write the</w:t>
                                    <w:br/>
                                    <w:t>number(s) of the nominee(s) on the line below.</w:t>
                                  </w:r>
                                </w:p>
                              </w:tc>
                              <w:tc>
                                <w:tcPr>
                                  <w:tcW w:w="59"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sz w:val="4"/>
                                      <w:szCs w:val="4"/>
                                    </w:rPr>
                                  </w:pPr>
                                  <w:r>
                                    <w:rPr>
                                      <w:sz w:val="4"/>
                                      <w:szCs w:val="4"/>
                                    </w:rPr>
                                  </w:r>
                                </w:p>
                              </w:tc>
                              <w:tc>
                                <w:tcPr>
                                  <w:tcW w:w="5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r>
                            <w:tr>
                              <w:trPr/>
                              <w:tc>
                                <w:tcPr>
                                  <w:tcW w:w="3654" w:type="dxa"/>
                                  <w:vMerge w:val="continue"/>
                                  <w:tcBorders/>
                                  <w:shd w:fill="auto" w:val="clear"/>
                                </w:tcPr>
                                <w:p>
                                  <w:pPr>
                                    <w:pStyle w:val="Normal"/>
                                    <w:rPr/>
                                  </w:pPr>
                                  <w:r>
                                    <w:rPr/>
                                  </w:r>
                                </w:p>
                              </w:tc>
                              <w:tc>
                                <w:tcPr>
                                  <w:tcW w:w="59"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sz w:val="4"/>
                                      <w:szCs w:val="4"/>
                                    </w:rPr>
                                  </w:pPr>
                                  <w:r>
                                    <w:rPr>
                                      <w:sz w:val="4"/>
                                      <w:szCs w:val="4"/>
                                    </w:rPr>
                                  </w:r>
                                </w:p>
                              </w:tc>
                              <w:tc>
                                <w:tcPr>
                                  <w:tcW w:w="5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r>
                            <w:tr>
                              <w:trPr/>
                              <w:tc>
                                <w:tcPr>
                                  <w:tcW w:w="3654" w:type="dxa"/>
                                  <w:vMerge w:val="continue"/>
                                  <w:tcBorders/>
                                  <w:shd w:fill="auto" w:val="clear"/>
                                </w:tcPr>
                                <w:p>
                                  <w:pPr>
                                    <w:pStyle w:val="Normal"/>
                                    <w:rPr/>
                                  </w:pPr>
                                  <w:r>
                                    <w:rPr/>
                                  </w:r>
                                </w:p>
                              </w:tc>
                              <w:tc>
                                <w:tcPr>
                                  <w:tcW w:w="59"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sz w:val="4"/>
                                      <w:szCs w:val="4"/>
                                    </w:rPr>
                                  </w:pPr>
                                  <w:r>
                                    <w:rPr>
                                      <w:sz w:val="4"/>
                                      <w:szCs w:val="4"/>
                                    </w:rPr>
                                  </w:r>
                                </w:p>
                              </w:tc>
                              <w:tc>
                                <w:tcPr>
                                  <w:tcW w:w="50" w:type="dxa"/>
                                  <w:tcBorders>
                                    <w:top w:val="single" w:sz="16" w:space="0" w:color="000000"/>
                                  </w:tcBorders>
                                  <w:shd w:fill="auto" w:val="clear"/>
                                  <w:tcMar>
                                    <w:top w:w="28" w:type="dxa"/>
                                  </w:tcMar>
                                  <w:vAlign w:val="bottom"/>
                                </w:tcPr>
                                <w:p>
                                  <w:pPr>
                                    <w:pStyle w:val="TableContents"/>
                                    <w:spacing w:before="0" w:after="283"/>
                                    <w:rPr/>
                                  </w:pPr>
                                  <w:r>
                                    <w:rPr/>
                                    <w:t> </w:t>
                                  </w:r>
                                </w:p>
                              </w:tc>
                              <w:tc>
                                <w:tcPr>
                                  <w:tcW w:w="372" w:type="dxa"/>
                                  <w:tcBorders>
                                    <w:top w:val="single" w:sz="16" w:space="0" w:color="000000"/>
                                    <w:right w:val="single" w:sz="16" w:space="0" w:color="000000"/>
                                  </w:tcBorders>
                                  <w:shd w:fill="auto" w:val="clear"/>
                                  <w:tcMar>
                                    <w:top w:w="28" w:type="dxa"/>
                                    <w:right w:w="28" w:type="dxa"/>
                                  </w:tcMar>
                                  <w:vAlign w:val="bottom"/>
                                </w:tcPr>
                                <w:p>
                                  <w:pPr>
                                    <w:pStyle w:val="TableContents"/>
                                    <w:spacing w:before="0" w:after="283"/>
                                    <w:rPr/>
                                  </w:pPr>
                                  <w:r>
                                    <w:rPr/>
                                    <w:t>    </w:t>
                                  </w:r>
                                </w:p>
                              </w:tc>
                              <w:tc>
                                <w:tcPr>
                                  <w:tcW w:w="5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r>
                            <w:tr>
                              <w:trPr/>
                              <w:tc>
                                <w:tcPr>
                                  <w:tcW w:w="3654" w:type="dxa"/>
                                  <w:tcBorders/>
                                  <w:shd w:fill="auto" w:val="clear"/>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pPr>
                                  <w:r>
                                    <w:rPr/>
                                    <w:t> </w:t>
                                  </w:r>
                                </w:p>
                              </w:tc>
                              <w:tc>
                                <w:tcPr>
                                  <w:tcW w:w="372" w:type="dxa"/>
                                  <w:tcBorders>
                                    <w:right w:val="single" w:sz="16" w:space="0" w:color="000000"/>
                                  </w:tcBorders>
                                  <w:shd w:fill="auto" w:val="clear"/>
                                  <w:tcMar>
                                    <w:right w:w="28" w:type="dxa"/>
                                  </w:tcMar>
                                  <w:vAlign w:val="bottom"/>
                                </w:tcPr>
                                <w:p>
                                  <w:pPr>
                                    <w:pStyle w:val="TableContents"/>
                                    <w:spacing w:before="0" w:after="283"/>
                                    <w:rPr/>
                                  </w:pPr>
                                  <w:r>
                                    <w:rPr/>
                                    <w:t>    </w:t>
                                  </w:r>
                                </w:p>
                              </w:tc>
                              <w:tc>
                                <w:tcPr>
                                  <w:tcW w:w="5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r>
                            <w:tr>
                              <w:trPr/>
                              <w:tc>
                                <w:tcPr>
                                  <w:tcW w:w="3654" w:type="dxa"/>
                                  <w:tcBorders/>
                                  <w:shd w:fill="auto" w:val="clear"/>
                                </w:tcPr>
                                <w:p>
                                  <w:pPr>
                                    <w:pStyle w:val="TableContents"/>
                                    <w:spacing w:before="0" w:after="283"/>
                                    <w:rPr>
                                      <w:u w:val="single"/>
                                    </w:rPr>
                                  </w:pPr>
                                  <w:r>
                                    <w:rPr>
                                      <w:u w:val="single"/>
                                    </w:rPr>
                                    <w:t>                                                                                  </w:t>
                                  </w:r>
                                </w:p>
                              </w:tc>
                              <w:tc>
                                <w:tcPr>
                                  <w:tcW w:w="59"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pPr>
                                  <w:r>
                                    <w:rPr/>
                                    <w:t> </w:t>
                                  </w:r>
                                </w:p>
                              </w:tc>
                              <w:tc>
                                <w:tcPr>
                                  <w:tcW w:w="372" w:type="dxa"/>
                                  <w:tcBorders>
                                    <w:right w:val="single" w:sz="16" w:space="0" w:color="000000"/>
                                  </w:tcBorders>
                                  <w:shd w:fill="auto" w:val="clear"/>
                                  <w:tcMar>
                                    <w:right w:w="28" w:type="dxa"/>
                                  </w:tcMar>
                                  <w:vAlign w:val="bottom"/>
                                </w:tcPr>
                                <w:p>
                                  <w:pPr>
                                    <w:pStyle w:val="TableContents"/>
                                    <w:spacing w:before="0" w:after="283"/>
                                    <w:rPr/>
                                  </w:pPr>
                                  <w:r>
                                    <w:rPr/>
                                    <w:t>    </w:t>
                                  </w:r>
                                </w:p>
                              </w:tc>
                              <w:tc>
                                <w:tcPr>
                                  <w:tcW w:w="5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txbxContent>
                      </wps:txbx>
                      <wps:bodyPr anchor="t" lIns="0" tIns="0" rIns="0" bIns="0">
                        <a:noAutofit/>
                      </wps:bodyPr>
                    </wps:wsp>
                  </a:graphicData>
                </a:graphic>
                <wp14:sizeRelH relativeFrom="margin">
                  <wp14:pctWidth>49000</wp14:pctWidth>
                </wp14:sizeRelH>
              </wp:anchor>
            </w:drawing>
          </mc:Choice>
          <mc:Fallback>
            <w:pict>
              <v:rect style="position:absolute;rotation:0;width:250pt;height:242.4pt;mso-wrap-distance-left:0pt;mso-wrap-distance-right:0pt;mso-wrap-distance-top:0pt;mso-wrap-distance-bottom:0pt;margin-top:0pt;mso-position-vertical:top;mso-position-vertical-relative:text;margin-left:244.9pt;mso-position-horizontal:left;mso-position-horizontal-relative:text">
                <v:textbox inset="0in,0in,0in,0in">
                  <w:txbxContent>
                    <w:tbl>
                      <w:tblPr>
                        <w:tblW w:w="5000" w:type="pct"/>
                        <w:jc w:val="center"/>
                        <w:tblInd w:w="0" w:type="dxa"/>
                        <w:tblCellMar>
                          <w:top w:w="0" w:type="dxa"/>
                          <w:left w:w="0" w:type="dxa"/>
                          <w:bottom w:w="0" w:type="dxa"/>
                          <w:right w:w="0" w:type="dxa"/>
                        </w:tblCellMar>
                      </w:tblPr>
                      <w:tblGrid>
                        <w:gridCol w:w="3654"/>
                        <w:gridCol w:w="59"/>
                        <w:gridCol w:w="342"/>
                        <w:gridCol w:w="50"/>
                        <w:gridCol w:w="372"/>
                        <w:gridCol w:w="51"/>
                        <w:gridCol w:w="472"/>
                      </w:tblGrid>
                      <w:tr>
                        <w:trPr/>
                        <w:tc>
                          <w:tcPr>
                            <w:tcW w:w="3654" w:type="dxa"/>
                            <w:tcBorders/>
                            <w:shd w:fill="auto" w:val="clear"/>
                            <w:vAlign w:val="center"/>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sz w:val="4"/>
                                <w:szCs w:val="4"/>
                              </w:rPr>
                            </w:pPr>
                            <w:r>
                              <w:rPr>
                                <w:sz w:val="4"/>
                                <w:szCs w:val="4"/>
                              </w:rPr>
                            </w:r>
                          </w:p>
                        </w:tc>
                        <w:tc>
                          <w:tcPr>
                            <w:tcW w:w="342" w:type="dxa"/>
                            <w:tcBorders/>
                            <w:shd w:fill="auto" w:val="clear"/>
                            <w:vAlign w:val="center"/>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sz w:val="4"/>
                                <w:szCs w:val="4"/>
                              </w:rPr>
                            </w:pPr>
                            <w:r>
                              <w:rPr>
                                <w:sz w:val="4"/>
                                <w:szCs w:val="4"/>
                              </w:rPr>
                            </w:r>
                          </w:p>
                        </w:tc>
                        <w:tc>
                          <w:tcPr>
                            <w:tcW w:w="372" w:type="dxa"/>
                            <w:tcBorders/>
                            <w:shd w:fill="auto" w:val="clear"/>
                            <w:vAlign w:val="center"/>
                          </w:tcPr>
                          <w:p>
                            <w:pPr>
                              <w:pStyle w:val="TableContents"/>
                              <w:spacing w:before="0" w:after="283"/>
                              <w:rPr>
                                <w:sz w:val="4"/>
                                <w:szCs w:val="4"/>
                              </w:rPr>
                            </w:pPr>
                            <w:r>
                              <w:rPr>
                                <w:sz w:val="4"/>
                                <w:szCs w:val="4"/>
                              </w:rPr>
                            </w:r>
                          </w:p>
                        </w:tc>
                        <w:tc>
                          <w:tcPr>
                            <w:tcW w:w="51" w:type="dxa"/>
                            <w:tcBorders/>
                            <w:shd w:fill="auto" w:val="clear"/>
                            <w:vAlign w:val="bottom"/>
                          </w:tcPr>
                          <w:p>
                            <w:pPr>
                              <w:pStyle w:val="TableContents"/>
                              <w:spacing w:before="0" w:after="283"/>
                              <w:rPr>
                                <w:sz w:val="4"/>
                                <w:szCs w:val="4"/>
                              </w:rPr>
                            </w:pPr>
                            <w:r>
                              <w:rPr>
                                <w:sz w:val="4"/>
                                <w:szCs w:val="4"/>
                              </w:rPr>
                            </w:r>
                          </w:p>
                        </w:tc>
                        <w:tc>
                          <w:tcPr>
                            <w:tcW w:w="472" w:type="dxa"/>
                            <w:tcBorders/>
                            <w:shd w:fill="auto" w:val="clear"/>
                            <w:vAlign w:val="center"/>
                          </w:tcPr>
                          <w:p>
                            <w:pPr>
                              <w:pStyle w:val="TableContents"/>
                              <w:spacing w:before="0" w:after="283"/>
                              <w:rPr>
                                <w:sz w:val="4"/>
                                <w:szCs w:val="4"/>
                              </w:rPr>
                            </w:pPr>
                            <w:r>
                              <w:rPr>
                                <w:sz w:val="4"/>
                                <w:szCs w:val="4"/>
                              </w:rPr>
                            </w:r>
                          </w:p>
                        </w:tc>
                      </w:tr>
                      <w:tr>
                        <w:trPr/>
                        <w:tc>
                          <w:tcPr>
                            <w:tcW w:w="3654" w:type="dxa"/>
                            <w:vMerge w:val="restart"/>
                            <w:tcBorders/>
                            <w:shd w:fill="auto" w:val="clear"/>
                          </w:tcPr>
                          <w:p>
                            <w:pPr>
                              <w:pStyle w:val="TableContents"/>
                              <w:spacing w:before="0" w:after="283"/>
                              <w:rPr>
                                <w:rFonts w:ascii="Times New Roman" w:hAnsi="Times New Roman"/>
                              </w:rPr>
                            </w:pPr>
                            <w:r>
                              <w:rPr>
                                <w:rFonts w:ascii="Times New Roman" w:hAnsi="Times New Roman"/>
                              </w:rPr>
                              <w:t>To withhold authority to vote for any individual</w:t>
                              <w:br/>
                              <w:t>nominee(s), mark For All Except and write the</w:t>
                              <w:br/>
                              <w:t>number(s) of the nominee(s) on the line below.</w:t>
                            </w:r>
                          </w:p>
                        </w:tc>
                        <w:tc>
                          <w:tcPr>
                            <w:tcW w:w="59"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sz w:val="4"/>
                                <w:szCs w:val="4"/>
                              </w:rPr>
                            </w:pPr>
                            <w:r>
                              <w:rPr>
                                <w:sz w:val="4"/>
                                <w:szCs w:val="4"/>
                              </w:rPr>
                            </w:r>
                          </w:p>
                        </w:tc>
                        <w:tc>
                          <w:tcPr>
                            <w:tcW w:w="5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r>
                      <w:tr>
                        <w:trPr/>
                        <w:tc>
                          <w:tcPr>
                            <w:tcW w:w="3654" w:type="dxa"/>
                            <w:vMerge w:val="continue"/>
                            <w:tcBorders/>
                            <w:shd w:fill="auto" w:val="clear"/>
                          </w:tcPr>
                          <w:p>
                            <w:pPr>
                              <w:pStyle w:val="Normal"/>
                              <w:rPr/>
                            </w:pPr>
                            <w:r>
                              <w:rPr/>
                            </w:r>
                          </w:p>
                        </w:tc>
                        <w:tc>
                          <w:tcPr>
                            <w:tcW w:w="59"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pPr>
                            <w:r>
                              <w:rPr/>
                              <w:t> </w:t>
                            </w:r>
                          </w:p>
                        </w:tc>
                        <w:tc>
                          <w:tcPr>
                            <w:tcW w:w="372" w:type="dxa"/>
                            <w:tcBorders/>
                            <w:shd w:fill="auto" w:val="clear"/>
                            <w:vAlign w:val="bottom"/>
                          </w:tcPr>
                          <w:p>
                            <w:pPr>
                              <w:pStyle w:val="TableContents"/>
                              <w:spacing w:before="0" w:after="283"/>
                              <w:rPr>
                                <w:sz w:val="4"/>
                                <w:szCs w:val="4"/>
                              </w:rPr>
                            </w:pPr>
                            <w:r>
                              <w:rPr>
                                <w:sz w:val="4"/>
                                <w:szCs w:val="4"/>
                              </w:rPr>
                            </w:r>
                          </w:p>
                        </w:tc>
                        <w:tc>
                          <w:tcPr>
                            <w:tcW w:w="5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r>
                      <w:tr>
                        <w:trPr/>
                        <w:tc>
                          <w:tcPr>
                            <w:tcW w:w="3654" w:type="dxa"/>
                            <w:vMerge w:val="continue"/>
                            <w:tcBorders/>
                            <w:shd w:fill="auto" w:val="clear"/>
                          </w:tcPr>
                          <w:p>
                            <w:pPr>
                              <w:pStyle w:val="Normal"/>
                              <w:rPr/>
                            </w:pPr>
                            <w:r>
                              <w:rPr/>
                            </w:r>
                          </w:p>
                        </w:tc>
                        <w:tc>
                          <w:tcPr>
                            <w:tcW w:w="59"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sz w:val="4"/>
                                <w:szCs w:val="4"/>
                              </w:rPr>
                            </w:pPr>
                            <w:r>
                              <w:rPr>
                                <w:sz w:val="4"/>
                                <w:szCs w:val="4"/>
                              </w:rPr>
                            </w:r>
                          </w:p>
                        </w:tc>
                        <w:tc>
                          <w:tcPr>
                            <w:tcW w:w="50" w:type="dxa"/>
                            <w:tcBorders>
                              <w:top w:val="single" w:sz="16" w:space="0" w:color="000000"/>
                            </w:tcBorders>
                            <w:shd w:fill="auto" w:val="clear"/>
                            <w:tcMar>
                              <w:top w:w="28" w:type="dxa"/>
                            </w:tcMar>
                            <w:vAlign w:val="bottom"/>
                          </w:tcPr>
                          <w:p>
                            <w:pPr>
                              <w:pStyle w:val="TableContents"/>
                              <w:spacing w:before="0" w:after="283"/>
                              <w:rPr/>
                            </w:pPr>
                            <w:r>
                              <w:rPr/>
                              <w:t> </w:t>
                            </w:r>
                          </w:p>
                        </w:tc>
                        <w:tc>
                          <w:tcPr>
                            <w:tcW w:w="372" w:type="dxa"/>
                            <w:tcBorders>
                              <w:top w:val="single" w:sz="16" w:space="0" w:color="000000"/>
                              <w:right w:val="single" w:sz="16" w:space="0" w:color="000000"/>
                            </w:tcBorders>
                            <w:shd w:fill="auto" w:val="clear"/>
                            <w:tcMar>
                              <w:top w:w="28" w:type="dxa"/>
                              <w:right w:w="28" w:type="dxa"/>
                            </w:tcMar>
                            <w:vAlign w:val="bottom"/>
                          </w:tcPr>
                          <w:p>
                            <w:pPr>
                              <w:pStyle w:val="TableContents"/>
                              <w:spacing w:before="0" w:after="283"/>
                              <w:rPr/>
                            </w:pPr>
                            <w:r>
                              <w:rPr/>
                              <w:t>    </w:t>
                            </w:r>
                          </w:p>
                        </w:tc>
                        <w:tc>
                          <w:tcPr>
                            <w:tcW w:w="5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r>
                      <w:tr>
                        <w:trPr/>
                        <w:tc>
                          <w:tcPr>
                            <w:tcW w:w="3654" w:type="dxa"/>
                            <w:tcBorders/>
                            <w:shd w:fill="auto" w:val="clear"/>
                          </w:tcPr>
                          <w:p>
                            <w:pPr>
                              <w:pStyle w:val="TableContents"/>
                              <w:spacing w:before="0" w:after="283"/>
                              <w:rPr>
                                <w:sz w:val="4"/>
                                <w:szCs w:val="4"/>
                              </w:rPr>
                            </w:pPr>
                            <w:r>
                              <w:rPr>
                                <w:sz w:val="4"/>
                                <w:szCs w:val="4"/>
                              </w:rPr>
                            </w:r>
                          </w:p>
                        </w:tc>
                        <w:tc>
                          <w:tcPr>
                            <w:tcW w:w="59"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pPr>
                            <w:r>
                              <w:rPr/>
                              <w:t> </w:t>
                            </w:r>
                          </w:p>
                        </w:tc>
                        <w:tc>
                          <w:tcPr>
                            <w:tcW w:w="372" w:type="dxa"/>
                            <w:tcBorders>
                              <w:right w:val="single" w:sz="16" w:space="0" w:color="000000"/>
                            </w:tcBorders>
                            <w:shd w:fill="auto" w:val="clear"/>
                            <w:tcMar>
                              <w:right w:w="28" w:type="dxa"/>
                            </w:tcMar>
                            <w:vAlign w:val="bottom"/>
                          </w:tcPr>
                          <w:p>
                            <w:pPr>
                              <w:pStyle w:val="TableContents"/>
                              <w:spacing w:before="0" w:after="283"/>
                              <w:rPr/>
                            </w:pPr>
                            <w:r>
                              <w:rPr/>
                              <w:t>    </w:t>
                            </w:r>
                          </w:p>
                        </w:tc>
                        <w:tc>
                          <w:tcPr>
                            <w:tcW w:w="5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r>
                      <w:tr>
                        <w:trPr/>
                        <w:tc>
                          <w:tcPr>
                            <w:tcW w:w="3654" w:type="dxa"/>
                            <w:tcBorders/>
                            <w:shd w:fill="auto" w:val="clear"/>
                          </w:tcPr>
                          <w:p>
                            <w:pPr>
                              <w:pStyle w:val="TableContents"/>
                              <w:spacing w:before="0" w:after="283"/>
                              <w:rPr>
                                <w:u w:val="single"/>
                              </w:rPr>
                            </w:pPr>
                            <w:r>
                              <w:rPr>
                                <w:u w:val="single"/>
                              </w:rPr>
                              <w:t>                                                                                  </w:t>
                            </w:r>
                          </w:p>
                        </w:tc>
                        <w:tc>
                          <w:tcPr>
                            <w:tcW w:w="59" w:type="dxa"/>
                            <w:tcBorders/>
                            <w:shd w:fill="auto" w:val="clear"/>
                            <w:vAlign w:val="bottom"/>
                          </w:tcPr>
                          <w:p>
                            <w:pPr>
                              <w:pStyle w:val="TableContents"/>
                              <w:spacing w:before="0" w:after="283"/>
                              <w:rPr/>
                            </w:pPr>
                            <w:r>
                              <w:rPr/>
                              <w:t>  </w:t>
                            </w:r>
                          </w:p>
                        </w:tc>
                        <w:tc>
                          <w:tcPr>
                            <w:tcW w:w="342" w:type="dxa"/>
                            <w:tcBorders/>
                            <w:shd w:fill="auto" w:val="clear"/>
                            <w:vAlign w:val="bottom"/>
                          </w:tcPr>
                          <w:p>
                            <w:pPr>
                              <w:pStyle w:val="TableContents"/>
                              <w:spacing w:before="0" w:after="283"/>
                              <w:rPr>
                                <w:sz w:val="4"/>
                                <w:szCs w:val="4"/>
                              </w:rPr>
                            </w:pPr>
                            <w:r>
                              <w:rPr>
                                <w:sz w:val="4"/>
                                <w:szCs w:val="4"/>
                              </w:rPr>
                            </w:r>
                          </w:p>
                        </w:tc>
                        <w:tc>
                          <w:tcPr>
                            <w:tcW w:w="50" w:type="dxa"/>
                            <w:tcBorders/>
                            <w:shd w:fill="auto" w:val="clear"/>
                            <w:vAlign w:val="bottom"/>
                          </w:tcPr>
                          <w:p>
                            <w:pPr>
                              <w:pStyle w:val="TableContents"/>
                              <w:spacing w:before="0" w:after="283"/>
                              <w:rPr/>
                            </w:pPr>
                            <w:r>
                              <w:rPr/>
                              <w:t> </w:t>
                            </w:r>
                          </w:p>
                        </w:tc>
                        <w:tc>
                          <w:tcPr>
                            <w:tcW w:w="372" w:type="dxa"/>
                            <w:tcBorders>
                              <w:right w:val="single" w:sz="16" w:space="0" w:color="000000"/>
                            </w:tcBorders>
                            <w:shd w:fill="auto" w:val="clear"/>
                            <w:tcMar>
                              <w:right w:w="28" w:type="dxa"/>
                            </w:tcMar>
                            <w:vAlign w:val="bottom"/>
                          </w:tcPr>
                          <w:p>
                            <w:pPr>
                              <w:pStyle w:val="TableContents"/>
                              <w:spacing w:before="0" w:after="283"/>
                              <w:rPr/>
                            </w:pPr>
                            <w:r>
                              <w:rPr/>
                              <w:t>    </w:t>
                            </w:r>
                          </w:p>
                        </w:tc>
                        <w:tc>
                          <w:tcPr>
                            <w:tcW w:w="51" w:type="dxa"/>
                            <w:tcBorders/>
                            <w:shd w:fill="auto" w:val="clear"/>
                            <w:vAlign w:val="bottom"/>
                          </w:tcPr>
                          <w:p>
                            <w:pPr>
                              <w:pStyle w:val="TableContents"/>
                              <w:spacing w:before="0" w:after="283"/>
                              <w:rPr/>
                            </w:pPr>
                            <w:r>
                              <w:rPr/>
                              <w:t> </w:t>
                            </w:r>
                          </w:p>
                        </w:tc>
                        <w:tc>
                          <w:tcPr>
                            <w:tcW w:w="472"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rPr/>
                      </w:pPr>
                      <w:r>
                        <w:rPr/>
                        <w:t> </w:t>
                      </w:r>
                    </w:p>
                  </w:txbxContent>
                </v:textbox>
                <w10:wrap type="square" side="right"/>
              </v:rect>
            </w:pict>
          </mc:Fallback>
        </mc:AlternateContent>
      </w:r>
    </w:p>
    <w:p>
      <w:pPr>
        <w:pStyle w:val="TextBody"/>
        <w:spacing w:before="0" w:after="0"/>
        <w:jc w:val="left"/>
        <w:rPr>
          <w:bdr w:val="single" w:sz="12" w:space="2" w:color="000000"/>
        </w:rPr>
      </w:pPr>
      <w:r>
        <w:rPr>
          <w:bdr w:val="single" w:sz="12" w:space="2" w:color="000000"/>
        </w:rPr>
        <w:t> </w:t>
      </w:r>
    </w:p>
    <w:tbl>
      <w:tblPr>
        <w:tblW w:w="5000" w:type="pct"/>
        <w:jc w:val="center"/>
        <w:tblInd w:w="0" w:type="dxa"/>
        <w:tblCellMar>
          <w:top w:w="0" w:type="dxa"/>
          <w:left w:w="0" w:type="dxa"/>
          <w:bottom w:w="0" w:type="dxa"/>
          <w:right w:w="0" w:type="dxa"/>
        </w:tblCellMar>
      </w:tblPr>
      <w:tblGrid>
        <w:gridCol w:w="183"/>
        <w:gridCol w:w="119"/>
        <w:gridCol w:w="6824"/>
        <w:gridCol w:w="175"/>
        <w:gridCol w:w="60"/>
        <w:gridCol w:w="175"/>
        <w:gridCol w:w="395"/>
        <w:gridCol w:w="175"/>
        <w:gridCol w:w="801"/>
        <w:gridCol w:w="174"/>
        <w:gridCol w:w="815"/>
        <w:gridCol w:w="119"/>
        <w:gridCol w:w="190"/>
      </w:tblGrid>
      <w:tr>
        <w:trPr/>
        <w:tc>
          <w:tcPr>
            <w:tcW w:w="183"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6824"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60"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395" w:type="dxa"/>
            <w:tcBorders/>
            <w:shd w:fill="auto" w:val="clear"/>
            <w:vAlign w:val="center"/>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sz w:val="4"/>
                <w:szCs w:val="4"/>
              </w:rPr>
            </w:pPr>
            <w:r>
              <w:rPr>
                <w:sz w:val="4"/>
                <w:szCs w:val="4"/>
              </w:rPr>
            </w:r>
          </w:p>
        </w:tc>
        <w:tc>
          <w:tcPr>
            <w:tcW w:w="801" w:type="dxa"/>
            <w:tcBorders/>
            <w:shd w:fill="auto" w:val="clear"/>
            <w:vAlign w:val="center"/>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sz w:val="4"/>
                <w:szCs w:val="4"/>
              </w:rPr>
            </w:pPr>
            <w:r>
              <w:rPr>
                <w:sz w:val="4"/>
                <w:szCs w:val="4"/>
              </w:rPr>
            </w:r>
          </w:p>
        </w:tc>
        <w:tc>
          <w:tcPr>
            <w:tcW w:w="815" w:type="dxa"/>
            <w:tcBorders/>
            <w:shd w:fill="auto" w:val="clear"/>
            <w:vAlign w:val="cente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sz w:val="4"/>
                <w:szCs w:val="4"/>
              </w:rPr>
            </w:pPr>
            <w:r>
              <w:rPr>
                <w:sz w:val="4"/>
                <w:szCs w:val="4"/>
              </w:rPr>
            </w:r>
          </w:p>
        </w:tc>
        <w:tc>
          <w:tcPr>
            <w:tcW w:w="190" w:type="dxa"/>
            <w:tcBorders/>
            <w:shd w:fill="auto" w:val="clear"/>
            <w:vAlign w:val="center"/>
          </w:tcPr>
          <w:p>
            <w:pPr>
              <w:pStyle w:val="TableContents"/>
              <w:spacing w:before="0" w:after="283"/>
              <w:rPr>
                <w:sz w:val="4"/>
                <w:szCs w:val="4"/>
              </w:rPr>
            </w:pPr>
            <w:r>
              <w:rPr>
                <w:sz w:val="4"/>
                <w:szCs w:val="4"/>
              </w:rPr>
            </w:r>
          </w:p>
        </w:tc>
      </w:tr>
      <w:tr>
        <w:trPr/>
        <w:tc>
          <w:tcPr>
            <w:tcW w:w="183" w:type="dxa"/>
            <w:tcBorders/>
            <w:shd w:fill="auto" w:val="clear"/>
            <w:vAlign w:val="bottom"/>
          </w:tcPr>
          <w:p>
            <w:pPr>
              <w:pStyle w:val="TableContents"/>
              <w:spacing w:before="0" w:after="283"/>
              <w:rPr/>
            </w:pPr>
            <w:r>
              <w:rPr/>
              <w:t> </w:t>
            </w:r>
          </w:p>
        </w:tc>
        <w:tc>
          <w:tcPr>
            <w:tcW w:w="119" w:type="dxa"/>
            <w:tcBorders/>
            <w:shd w:fill="auto" w:val="clear"/>
            <w:vAlign w:val="bottom"/>
          </w:tcPr>
          <w:p>
            <w:pPr>
              <w:pStyle w:val="TableContents"/>
              <w:spacing w:before="0" w:after="283"/>
              <w:rPr/>
            </w:pPr>
            <w:r>
              <w:rPr/>
              <w:t> </w:t>
            </w:r>
          </w:p>
        </w:tc>
        <w:tc>
          <w:tcPr>
            <w:tcW w:w="6824" w:type="dxa"/>
            <w:tcBorders/>
            <w:shd w:fill="auto" w:val="clear"/>
            <w:vAlign w:val="bottom"/>
          </w:tcPr>
          <w:p>
            <w:pPr>
              <w:pStyle w:val="TableContents"/>
              <w:spacing w:before="0" w:after="283"/>
              <w:rPr>
                <w:b/>
              </w:rPr>
            </w:pPr>
            <w:r>
              <w:rPr>
                <w:b/>
              </w:rPr>
              <w:t>The Board of Directors recommends you vote FOR proposals 2, 3 and 4.</w:t>
            </w:r>
          </w:p>
        </w:tc>
        <w:tc>
          <w:tcPr>
            <w:tcW w:w="175" w:type="dxa"/>
            <w:tcBorders/>
            <w:shd w:fill="auto" w:val="clear"/>
            <w:vAlign w:val="bottom"/>
          </w:tcPr>
          <w:p>
            <w:pPr>
              <w:pStyle w:val="TableContents"/>
              <w:spacing w:before="0" w:after="283"/>
              <w:rPr/>
            </w:pPr>
            <w:r>
              <w:rPr/>
              <w:t>  </w:t>
            </w:r>
          </w:p>
        </w:tc>
        <w:tc>
          <w:tcPr>
            <w:tcW w:w="60" w:type="dxa"/>
            <w:tcBorders/>
            <w:shd w:fill="auto" w:val="clear"/>
            <w:vAlign w:val="bottom"/>
          </w:tcPr>
          <w:p>
            <w:pPr>
              <w:pStyle w:val="TableContents"/>
              <w:spacing w:before="0" w:after="283"/>
              <w:rPr/>
            </w:pPr>
            <w:r>
              <w:rPr/>
              <w:t> </w:t>
            </w:r>
          </w:p>
        </w:tc>
        <w:tc>
          <w:tcPr>
            <w:tcW w:w="17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jc w:val="center"/>
              <w:rPr>
                <w:b/>
              </w:rPr>
            </w:pPr>
            <w:r>
              <w:rPr>
                <w:b/>
              </w:rPr>
              <w:t>For</w:t>
            </w:r>
          </w:p>
        </w:tc>
        <w:tc>
          <w:tcPr>
            <w:tcW w:w="17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jc w:val="center"/>
              <w:rPr>
                <w:b/>
              </w:rPr>
            </w:pPr>
            <w:r>
              <w:rPr>
                <w:b/>
              </w:rPr>
              <w:t>Against</w:t>
            </w:r>
          </w:p>
        </w:tc>
        <w:tc>
          <w:tcPr>
            <w:tcW w:w="17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jc w:val="center"/>
              <w:rPr>
                <w:b/>
              </w:rPr>
            </w:pPr>
            <w:r>
              <w:rPr>
                <w:b/>
              </w:rPr>
              <w:t>Abstain</w:t>
            </w:r>
          </w:p>
        </w:tc>
        <w:tc>
          <w:tcPr>
            <w:tcW w:w="1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pPr>
            <w:r>
              <w:rPr/>
              <w:t> </w:t>
            </w:r>
          </w:p>
        </w:tc>
      </w:tr>
      <w:tr>
        <w:trPr>
          <w:trHeight w:val="120" w:hRule="atLeast"/>
        </w:trPr>
        <w:tc>
          <w:tcPr>
            <w:tcW w:w="183" w:type="dxa"/>
            <w:tcBorders/>
            <w:shd w:fill="auto" w:val="clear"/>
            <w:vAlign w:val="center"/>
          </w:tcPr>
          <w:p>
            <w:pPr>
              <w:pStyle w:val="TableContents"/>
              <w:spacing w:before="0" w:after="283"/>
              <w:rPr>
                <w:sz w:val="4"/>
                <w:szCs w:val="4"/>
              </w:rPr>
            </w:pPr>
            <w:r>
              <w:rPr>
                <w:sz w:val="4"/>
                <w:szCs w:val="4"/>
              </w:rPr>
            </w:r>
          </w:p>
        </w:tc>
        <w:tc>
          <w:tcPr>
            <w:tcW w:w="7178" w:type="dxa"/>
            <w:gridSpan w:val="4"/>
            <w:tcBorders/>
            <w:shd w:fill="auto" w:val="clear"/>
            <w:vAlign w:val="center"/>
          </w:tcPr>
          <w:p>
            <w:pPr>
              <w:pStyle w:val="TableContents"/>
              <w:spacing w:before="0" w:after="283"/>
              <w:rPr>
                <w:sz w:val="4"/>
                <w:szCs w:val="4"/>
              </w:rPr>
            </w:pPr>
            <w:r>
              <w:rPr>
                <w:sz w:val="4"/>
                <w:szCs w:val="4"/>
              </w:rPr>
            </w:r>
          </w:p>
        </w:tc>
        <w:tc>
          <w:tcPr>
            <w:tcW w:w="570" w:type="dxa"/>
            <w:gridSpan w:val="2"/>
            <w:tcBorders/>
            <w:shd w:fill="auto" w:val="clear"/>
            <w:vAlign w:val="center"/>
          </w:tcPr>
          <w:p>
            <w:pPr>
              <w:pStyle w:val="TableContents"/>
              <w:spacing w:before="0" w:after="283"/>
              <w:rPr>
                <w:sz w:val="4"/>
                <w:szCs w:val="4"/>
              </w:rPr>
            </w:pPr>
            <w:r>
              <w:rPr>
                <w:sz w:val="4"/>
                <w:szCs w:val="4"/>
              </w:rPr>
            </w:r>
          </w:p>
        </w:tc>
        <w:tc>
          <w:tcPr>
            <w:tcW w:w="976" w:type="dxa"/>
            <w:gridSpan w:val="2"/>
            <w:tcBorders/>
            <w:shd w:fill="auto" w:val="clear"/>
            <w:vAlign w:val="center"/>
          </w:tcPr>
          <w:p>
            <w:pPr>
              <w:pStyle w:val="TableContents"/>
              <w:spacing w:before="0" w:after="283"/>
              <w:rPr>
                <w:sz w:val="4"/>
                <w:szCs w:val="4"/>
              </w:rPr>
            </w:pPr>
            <w:r>
              <w:rPr>
                <w:sz w:val="4"/>
                <w:szCs w:val="4"/>
              </w:rPr>
            </w:r>
          </w:p>
        </w:tc>
        <w:tc>
          <w:tcPr>
            <w:tcW w:w="989" w:type="dxa"/>
            <w:gridSpan w:val="2"/>
            <w:tcBorders/>
            <w:shd w:fill="auto" w:val="clear"/>
            <w:vAlign w:val="center"/>
          </w:tcPr>
          <w:p>
            <w:pPr>
              <w:pStyle w:val="TableContents"/>
              <w:spacing w:before="0" w:after="283"/>
              <w:rPr>
                <w:sz w:val="4"/>
                <w:szCs w:val="4"/>
              </w:rPr>
            </w:pPr>
            <w:r>
              <w:rPr>
                <w:sz w:val="4"/>
                <w:szCs w:val="4"/>
              </w:rPr>
            </w:r>
          </w:p>
        </w:tc>
        <w:tc>
          <w:tcPr>
            <w:tcW w:w="309" w:type="dxa"/>
            <w:gridSpan w:val="2"/>
            <w:tcBorders/>
            <w:shd w:fill="auto" w:val="clear"/>
            <w:vAlign w:val="center"/>
          </w:tcPr>
          <w:p>
            <w:pPr>
              <w:pStyle w:val="TableContents"/>
              <w:spacing w:before="0" w:after="283"/>
              <w:rPr>
                <w:sz w:val="4"/>
                <w:szCs w:val="4"/>
              </w:rPr>
            </w:pPr>
            <w:r>
              <w:rPr>
                <w:sz w:val="4"/>
                <w:szCs w:val="4"/>
              </w:rPr>
            </w:r>
          </w:p>
        </w:tc>
      </w:tr>
      <w:tr>
        <w:trPr/>
        <w:tc>
          <w:tcPr>
            <w:tcW w:w="1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7059" w:type="dxa"/>
            <w:gridSpan w:val="3"/>
            <w:tcBorders/>
            <w:shd w:fill="auto" w:val="clear"/>
          </w:tcPr>
          <w:p>
            <w:pPr>
              <w:pStyle w:val="TableContents"/>
              <w:spacing w:before="0" w:after="0"/>
              <w:rPr>
                <w:rFonts w:ascii="Times New Roman" w:hAnsi="Times New Roman"/>
                <w:sz w:val="14"/>
              </w:rPr>
            </w:pPr>
            <w:r>
              <w:rPr>
                <w:rFonts w:ascii="Times New Roman" w:hAnsi="Times New Roman"/>
                <w:sz w:val="14"/>
              </w:rPr>
              <w:t>2.  To approve an amendment to the Companys Amended and Restated 2012 Omnibus Incentive Plan.</w:t>
            </w:r>
          </w:p>
        </w:tc>
        <w:tc>
          <w:tcPr>
            <w:tcW w:w="175"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jc w:val="center"/>
              <w:rPr/>
            </w:pPr>
            <w:r>
              <w:rPr/>
              <w:t>☐</w:t>
            </w:r>
          </w:p>
        </w:tc>
        <w:tc>
          <w:tcPr>
            <w:tcW w:w="175" w:type="dxa"/>
            <w:tcBorders/>
            <w:shd w:fill="auto" w:val="clear"/>
            <w:vAlign w:val="bottom"/>
          </w:tcPr>
          <w:p>
            <w:pPr>
              <w:pStyle w:val="TableContents"/>
              <w:spacing w:before="0" w:after="283"/>
              <w:rPr/>
            </w:pPr>
            <w:r>
              <w:rPr/>
              <w:t>  </w:t>
            </w:r>
          </w:p>
        </w:tc>
        <w:tc>
          <w:tcPr>
            <w:tcW w:w="801" w:type="dxa"/>
            <w:tcBorders/>
            <w:shd w:fill="auto" w:val="clear"/>
          </w:tcPr>
          <w:p>
            <w:pPr>
              <w:pStyle w:val="TableContents"/>
              <w:spacing w:before="0" w:after="283"/>
              <w:jc w:val="center"/>
              <w:rPr/>
            </w:pPr>
            <w:r>
              <w:rPr/>
              <w:t>☐</w:t>
            </w:r>
          </w:p>
        </w:tc>
        <w:tc>
          <w:tcPr>
            <w:tcW w:w="174"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jc w:val="center"/>
              <w:rPr/>
            </w:pPr>
            <w:r>
              <w:rPr/>
              <w:t>☐</w:t>
            </w:r>
          </w:p>
        </w:tc>
        <w:tc>
          <w:tcPr>
            <w:tcW w:w="119"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rHeight w:val="120" w:hRule="atLeast"/>
        </w:trPr>
        <w:tc>
          <w:tcPr>
            <w:tcW w:w="183" w:type="dxa"/>
            <w:tcBorders/>
            <w:shd w:fill="auto" w:val="clear"/>
            <w:vAlign w:val="center"/>
          </w:tcPr>
          <w:p>
            <w:pPr>
              <w:pStyle w:val="TableContents"/>
              <w:spacing w:before="0" w:after="283"/>
              <w:rPr>
                <w:sz w:val="4"/>
                <w:szCs w:val="4"/>
              </w:rPr>
            </w:pPr>
            <w:r>
              <w:rPr>
                <w:sz w:val="4"/>
                <w:szCs w:val="4"/>
              </w:rPr>
            </w:r>
          </w:p>
        </w:tc>
        <w:tc>
          <w:tcPr>
            <w:tcW w:w="7178" w:type="dxa"/>
            <w:gridSpan w:val="4"/>
            <w:tcBorders/>
            <w:shd w:fill="auto" w:val="clear"/>
            <w:vAlign w:val="center"/>
          </w:tcPr>
          <w:p>
            <w:pPr>
              <w:pStyle w:val="TableContents"/>
              <w:spacing w:before="0" w:after="283"/>
              <w:rPr>
                <w:sz w:val="4"/>
                <w:szCs w:val="4"/>
              </w:rPr>
            </w:pPr>
            <w:r>
              <w:rPr>
                <w:sz w:val="4"/>
                <w:szCs w:val="4"/>
              </w:rPr>
            </w:r>
          </w:p>
        </w:tc>
        <w:tc>
          <w:tcPr>
            <w:tcW w:w="570" w:type="dxa"/>
            <w:gridSpan w:val="2"/>
            <w:tcBorders/>
            <w:shd w:fill="auto" w:val="clear"/>
            <w:vAlign w:val="center"/>
          </w:tcPr>
          <w:p>
            <w:pPr>
              <w:pStyle w:val="TableContents"/>
              <w:spacing w:before="0" w:after="283"/>
              <w:rPr>
                <w:sz w:val="4"/>
                <w:szCs w:val="4"/>
              </w:rPr>
            </w:pPr>
            <w:r>
              <w:rPr>
                <w:sz w:val="4"/>
                <w:szCs w:val="4"/>
              </w:rPr>
            </w:r>
          </w:p>
        </w:tc>
        <w:tc>
          <w:tcPr>
            <w:tcW w:w="976" w:type="dxa"/>
            <w:gridSpan w:val="2"/>
            <w:tcBorders/>
            <w:shd w:fill="auto" w:val="clear"/>
            <w:vAlign w:val="center"/>
          </w:tcPr>
          <w:p>
            <w:pPr>
              <w:pStyle w:val="TableContents"/>
              <w:spacing w:before="0" w:after="283"/>
              <w:rPr>
                <w:sz w:val="4"/>
                <w:szCs w:val="4"/>
              </w:rPr>
            </w:pPr>
            <w:r>
              <w:rPr>
                <w:sz w:val="4"/>
                <w:szCs w:val="4"/>
              </w:rPr>
            </w:r>
          </w:p>
        </w:tc>
        <w:tc>
          <w:tcPr>
            <w:tcW w:w="989" w:type="dxa"/>
            <w:gridSpan w:val="2"/>
            <w:tcBorders/>
            <w:shd w:fill="auto" w:val="clear"/>
            <w:vAlign w:val="center"/>
          </w:tcPr>
          <w:p>
            <w:pPr>
              <w:pStyle w:val="TableContents"/>
              <w:spacing w:before="0" w:after="283"/>
              <w:rPr>
                <w:sz w:val="4"/>
                <w:szCs w:val="4"/>
              </w:rPr>
            </w:pPr>
            <w:r>
              <w:rPr>
                <w:sz w:val="4"/>
                <w:szCs w:val="4"/>
              </w:rPr>
            </w:r>
          </w:p>
        </w:tc>
        <w:tc>
          <w:tcPr>
            <w:tcW w:w="309" w:type="dxa"/>
            <w:gridSpan w:val="2"/>
            <w:tcBorders/>
            <w:shd w:fill="auto" w:val="clear"/>
            <w:vAlign w:val="center"/>
          </w:tcPr>
          <w:p>
            <w:pPr>
              <w:pStyle w:val="TableContents"/>
              <w:spacing w:before="0" w:after="283"/>
              <w:rPr>
                <w:sz w:val="4"/>
                <w:szCs w:val="4"/>
              </w:rPr>
            </w:pPr>
            <w:r>
              <w:rPr>
                <w:sz w:val="4"/>
                <w:szCs w:val="4"/>
              </w:rPr>
            </w:r>
          </w:p>
        </w:tc>
      </w:tr>
      <w:tr>
        <w:trPr/>
        <w:tc>
          <w:tcPr>
            <w:tcW w:w="1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7059" w:type="dxa"/>
            <w:gridSpan w:val="3"/>
            <w:tcBorders/>
            <w:shd w:fill="auto" w:val="clear"/>
          </w:tcPr>
          <w:p>
            <w:pPr>
              <w:pStyle w:val="TableContents"/>
              <w:spacing w:before="0" w:after="0"/>
              <w:rPr>
                <w:rFonts w:ascii="Times New Roman" w:hAnsi="Times New Roman"/>
                <w:sz w:val="14"/>
              </w:rPr>
            </w:pPr>
            <w:r>
              <w:rPr>
                <w:rFonts w:ascii="Times New Roman" w:hAnsi="Times New Roman"/>
                <w:sz w:val="14"/>
              </w:rPr>
              <w:t>3.  An advisory vote to approve the Companys executive compensation.</w:t>
            </w:r>
          </w:p>
        </w:tc>
        <w:tc>
          <w:tcPr>
            <w:tcW w:w="175"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jc w:val="center"/>
              <w:rPr/>
            </w:pPr>
            <w:r>
              <w:rPr/>
              <w:t>☐</w:t>
            </w:r>
          </w:p>
        </w:tc>
        <w:tc>
          <w:tcPr>
            <w:tcW w:w="175" w:type="dxa"/>
            <w:tcBorders/>
            <w:shd w:fill="auto" w:val="clear"/>
            <w:vAlign w:val="bottom"/>
          </w:tcPr>
          <w:p>
            <w:pPr>
              <w:pStyle w:val="TableContents"/>
              <w:spacing w:before="0" w:after="283"/>
              <w:rPr/>
            </w:pPr>
            <w:r>
              <w:rPr/>
              <w:t>  </w:t>
            </w:r>
          </w:p>
        </w:tc>
        <w:tc>
          <w:tcPr>
            <w:tcW w:w="801" w:type="dxa"/>
            <w:tcBorders/>
            <w:shd w:fill="auto" w:val="clear"/>
          </w:tcPr>
          <w:p>
            <w:pPr>
              <w:pStyle w:val="TableContents"/>
              <w:spacing w:before="0" w:after="283"/>
              <w:jc w:val="center"/>
              <w:rPr/>
            </w:pPr>
            <w:r>
              <w:rPr/>
              <w:t>☐</w:t>
            </w:r>
          </w:p>
        </w:tc>
        <w:tc>
          <w:tcPr>
            <w:tcW w:w="174"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jc w:val="center"/>
              <w:rPr/>
            </w:pPr>
            <w:r>
              <w:rPr/>
              <w:t>☐</w:t>
            </w:r>
          </w:p>
        </w:tc>
        <w:tc>
          <w:tcPr>
            <w:tcW w:w="119"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rHeight w:val="120" w:hRule="atLeast"/>
        </w:trPr>
        <w:tc>
          <w:tcPr>
            <w:tcW w:w="183" w:type="dxa"/>
            <w:tcBorders/>
            <w:shd w:fill="auto" w:val="clear"/>
            <w:vAlign w:val="center"/>
          </w:tcPr>
          <w:p>
            <w:pPr>
              <w:pStyle w:val="TableContents"/>
              <w:spacing w:before="0" w:after="283"/>
              <w:rPr>
                <w:sz w:val="4"/>
                <w:szCs w:val="4"/>
              </w:rPr>
            </w:pPr>
            <w:r>
              <w:rPr>
                <w:sz w:val="4"/>
                <w:szCs w:val="4"/>
              </w:rPr>
            </w:r>
          </w:p>
        </w:tc>
        <w:tc>
          <w:tcPr>
            <w:tcW w:w="7178" w:type="dxa"/>
            <w:gridSpan w:val="4"/>
            <w:tcBorders/>
            <w:shd w:fill="auto" w:val="clear"/>
            <w:vAlign w:val="center"/>
          </w:tcPr>
          <w:p>
            <w:pPr>
              <w:pStyle w:val="TableContents"/>
              <w:spacing w:before="0" w:after="283"/>
              <w:rPr>
                <w:sz w:val="4"/>
                <w:szCs w:val="4"/>
              </w:rPr>
            </w:pPr>
            <w:r>
              <w:rPr>
                <w:sz w:val="4"/>
                <w:szCs w:val="4"/>
              </w:rPr>
            </w:r>
          </w:p>
        </w:tc>
        <w:tc>
          <w:tcPr>
            <w:tcW w:w="570" w:type="dxa"/>
            <w:gridSpan w:val="2"/>
            <w:tcBorders/>
            <w:shd w:fill="auto" w:val="clear"/>
            <w:vAlign w:val="center"/>
          </w:tcPr>
          <w:p>
            <w:pPr>
              <w:pStyle w:val="TableContents"/>
              <w:spacing w:before="0" w:after="283"/>
              <w:rPr>
                <w:sz w:val="4"/>
                <w:szCs w:val="4"/>
              </w:rPr>
            </w:pPr>
            <w:r>
              <w:rPr>
                <w:sz w:val="4"/>
                <w:szCs w:val="4"/>
              </w:rPr>
            </w:r>
          </w:p>
        </w:tc>
        <w:tc>
          <w:tcPr>
            <w:tcW w:w="976" w:type="dxa"/>
            <w:gridSpan w:val="2"/>
            <w:tcBorders/>
            <w:shd w:fill="auto" w:val="clear"/>
            <w:vAlign w:val="center"/>
          </w:tcPr>
          <w:p>
            <w:pPr>
              <w:pStyle w:val="TableContents"/>
              <w:spacing w:before="0" w:after="283"/>
              <w:rPr>
                <w:sz w:val="4"/>
                <w:szCs w:val="4"/>
              </w:rPr>
            </w:pPr>
            <w:r>
              <w:rPr>
                <w:sz w:val="4"/>
                <w:szCs w:val="4"/>
              </w:rPr>
            </w:r>
          </w:p>
        </w:tc>
        <w:tc>
          <w:tcPr>
            <w:tcW w:w="989" w:type="dxa"/>
            <w:gridSpan w:val="2"/>
            <w:tcBorders/>
            <w:shd w:fill="auto" w:val="clear"/>
            <w:vAlign w:val="center"/>
          </w:tcPr>
          <w:p>
            <w:pPr>
              <w:pStyle w:val="TableContents"/>
              <w:spacing w:before="0" w:after="283"/>
              <w:rPr>
                <w:sz w:val="4"/>
                <w:szCs w:val="4"/>
              </w:rPr>
            </w:pPr>
            <w:r>
              <w:rPr>
                <w:sz w:val="4"/>
                <w:szCs w:val="4"/>
              </w:rPr>
            </w:r>
          </w:p>
        </w:tc>
        <w:tc>
          <w:tcPr>
            <w:tcW w:w="309" w:type="dxa"/>
            <w:gridSpan w:val="2"/>
            <w:tcBorders/>
            <w:shd w:fill="auto" w:val="clear"/>
            <w:vAlign w:val="center"/>
          </w:tcPr>
          <w:p>
            <w:pPr>
              <w:pStyle w:val="TableContents"/>
              <w:spacing w:before="0" w:after="283"/>
              <w:rPr>
                <w:sz w:val="4"/>
                <w:szCs w:val="4"/>
              </w:rPr>
            </w:pPr>
            <w:r>
              <w:rPr>
                <w:sz w:val="4"/>
                <w:szCs w:val="4"/>
              </w:rPr>
            </w:r>
          </w:p>
        </w:tc>
      </w:tr>
      <w:tr>
        <w:trPr/>
        <w:tc>
          <w:tcPr>
            <w:tcW w:w="1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7059" w:type="dxa"/>
            <w:gridSpan w:val="3"/>
            <w:tcBorders/>
            <w:shd w:fill="auto" w:val="clear"/>
          </w:tcPr>
          <w:p>
            <w:pPr>
              <w:pStyle w:val="TableContents"/>
              <w:spacing w:before="0" w:after="0"/>
              <w:rPr>
                <w:rFonts w:ascii="Times New Roman" w:hAnsi="Times New Roman"/>
                <w:sz w:val="14"/>
              </w:rPr>
            </w:pPr>
            <w:r>
              <w:rPr>
                <w:rFonts w:ascii="Times New Roman" w:hAnsi="Times New Roman"/>
                <w:sz w:val="14"/>
              </w:rPr>
              <w:t>4.  To ratify the appointment of PricewaterhouseCoopers LLP as the Companys independent registered public accounting firm for the fiscal year ending December 31, 2021.</w:t>
            </w:r>
          </w:p>
        </w:tc>
        <w:tc>
          <w:tcPr>
            <w:tcW w:w="175" w:type="dxa"/>
            <w:tcBorders/>
            <w:shd w:fill="auto" w:val="clear"/>
            <w:vAlign w:val="bottom"/>
          </w:tcPr>
          <w:p>
            <w:pPr>
              <w:pStyle w:val="TableContents"/>
              <w:spacing w:before="0" w:after="283"/>
              <w:rPr/>
            </w:pPr>
            <w:r>
              <w:rPr/>
              <w:t>  </w:t>
            </w:r>
          </w:p>
        </w:tc>
        <w:tc>
          <w:tcPr>
            <w:tcW w:w="395" w:type="dxa"/>
            <w:tcBorders/>
            <w:shd w:fill="auto" w:val="clear"/>
          </w:tcPr>
          <w:p>
            <w:pPr>
              <w:pStyle w:val="TableContents"/>
              <w:spacing w:before="0" w:after="283"/>
              <w:jc w:val="center"/>
              <w:rPr/>
            </w:pPr>
            <w:r>
              <w:rPr/>
              <w:t>☐</w:t>
            </w:r>
          </w:p>
        </w:tc>
        <w:tc>
          <w:tcPr>
            <w:tcW w:w="175" w:type="dxa"/>
            <w:tcBorders/>
            <w:shd w:fill="auto" w:val="clear"/>
            <w:vAlign w:val="bottom"/>
          </w:tcPr>
          <w:p>
            <w:pPr>
              <w:pStyle w:val="TableContents"/>
              <w:spacing w:before="0" w:after="283"/>
              <w:rPr/>
            </w:pPr>
            <w:r>
              <w:rPr/>
              <w:t>  </w:t>
            </w:r>
          </w:p>
        </w:tc>
        <w:tc>
          <w:tcPr>
            <w:tcW w:w="801" w:type="dxa"/>
            <w:tcBorders/>
            <w:shd w:fill="auto" w:val="clear"/>
          </w:tcPr>
          <w:p>
            <w:pPr>
              <w:pStyle w:val="TableContents"/>
              <w:spacing w:before="0" w:after="283"/>
              <w:jc w:val="center"/>
              <w:rPr/>
            </w:pPr>
            <w:r>
              <w:rPr/>
              <w:t>☐</w:t>
            </w:r>
          </w:p>
        </w:tc>
        <w:tc>
          <w:tcPr>
            <w:tcW w:w="174" w:type="dxa"/>
            <w:tcBorders/>
            <w:shd w:fill="auto" w:val="clear"/>
            <w:vAlign w:val="bottom"/>
          </w:tcPr>
          <w:p>
            <w:pPr>
              <w:pStyle w:val="TableContents"/>
              <w:spacing w:before="0" w:after="283"/>
              <w:rPr/>
            </w:pPr>
            <w:r>
              <w:rPr/>
              <w:t>  </w:t>
            </w:r>
          </w:p>
        </w:tc>
        <w:tc>
          <w:tcPr>
            <w:tcW w:w="815" w:type="dxa"/>
            <w:tcBorders/>
            <w:shd w:fill="auto" w:val="clear"/>
          </w:tcPr>
          <w:p>
            <w:pPr>
              <w:pStyle w:val="TableContents"/>
              <w:spacing w:before="0" w:after="283"/>
              <w:jc w:val="center"/>
              <w:rPr/>
            </w:pPr>
            <w:r>
              <w:rPr/>
              <w:t>☐</w:t>
            </w:r>
          </w:p>
        </w:tc>
        <w:tc>
          <w:tcPr>
            <w:tcW w:w="119" w:type="dxa"/>
            <w:tcBorders/>
            <w:shd w:fill="auto" w:val="clear"/>
            <w:vAlign w:val="bottom"/>
          </w:tcPr>
          <w:p>
            <w:pPr>
              <w:pStyle w:val="TableContents"/>
              <w:spacing w:before="0" w:after="283"/>
              <w:rPr/>
            </w:pPr>
            <w:r>
              <w:rPr/>
              <w:t> </w:t>
            </w:r>
          </w:p>
        </w:tc>
        <w:tc>
          <w:tcPr>
            <w:tcW w:w="190" w:type="dxa"/>
            <w:tcBorders/>
            <w:shd w:fill="auto" w:val="clear"/>
          </w:tcPr>
          <w:p>
            <w:pPr>
              <w:pStyle w:val="TableContents"/>
              <w:spacing w:before="0" w:after="283"/>
              <w:rPr>
                <w:sz w:val="4"/>
                <w:szCs w:val="4"/>
              </w:rPr>
            </w:pPr>
            <w:r>
              <w:rPr>
                <w:sz w:val="4"/>
                <w:szCs w:val="4"/>
              </w:rPr>
            </w:r>
          </w:p>
        </w:tc>
      </w:tr>
      <w:tr>
        <w:trPr>
          <w:trHeight w:val="120" w:hRule="atLeast"/>
        </w:trPr>
        <w:tc>
          <w:tcPr>
            <w:tcW w:w="183" w:type="dxa"/>
            <w:tcBorders/>
            <w:shd w:fill="auto" w:val="clear"/>
            <w:vAlign w:val="center"/>
          </w:tcPr>
          <w:p>
            <w:pPr>
              <w:pStyle w:val="TableContents"/>
              <w:spacing w:before="0" w:after="283"/>
              <w:rPr>
                <w:sz w:val="4"/>
                <w:szCs w:val="4"/>
              </w:rPr>
            </w:pPr>
            <w:r>
              <w:rPr>
                <w:sz w:val="4"/>
                <w:szCs w:val="4"/>
              </w:rPr>
            </w:r>
          </w:p>
        </w:tc>
        <w:tc>
          <w:tcPr>
            <w:tcW w:w="7178" w:type="dxa"/>
            <w:gridSpan w:val="4"/>
            <w:tcBorders/>
            <w:shd w:fill="auto" w:val="clear"/>
            <w:vAlign w:val="center"/>
          </w:tcPr>
          <w:p>
            <w:pPr>
              <w:pStyle w:val="TableContents"/>
              <w:spacing w:before="0" w:after="283"/>
              <w:rPr>
                <w:sz w:val="4"/>
                <w:szCs w:val="4"/>
              </w:rPr>
            </w:pPr>
            <w:r>
              <w:rPr>
                <w:sz w:val="4"/>
                <w:szCs w:val="4"/>
              </w:rPr>
            </w:r>
          </w:p>
        </w:tc>
        <w:tc>
          <w:tcPr>
            <w:tcW w:w="570" w:type="dxa"/>
            <w:gridSpan w:val="2"/>
            <w:tcBorders/>
            <w:shd w:fill="auto" w:val="clear"/>
            <w:vAlign w:val="center"/>
          </w:tcPr>
          <w:p>
            <w:pPr>
              <w:pStyle w:val="TableContents"/>
              <w:spacing w:before="0" w:after="283"/>
              <w:rPr>
                <w:sz w:val="4"/>
                <w:szCs w:val="4"/>
              </w:rPr>
            </w:pPr>
            <w:r>
              <w:rPr>
                <w:sz w:val="4"/>
                <w:szCs w:val="4"/>
              </w:rPr>
            </w:r>
          </w:p>
        </w:tc>
        <w:tc>
          <w:tcPr>
            <w:tcW w:w="976" w:type="dxa"/>
            <w:gridSpan w:val="2"/>
            <w:tcBorders/>
            <w:shd w:fill="auto" w:val="clear"/>
            <w:vAlign w:val="center"/>
          </w:tcPr>
          <w:p>
            <w:pPr>
              <w:pStyle w:val="TableContents"/>
              <w:spacing w:before="0" w:after="283"/>
              <w:rPr>
                <w:sz w:val="4"/>
                <w:szCs w:val="4"/>
              </w:rPr>
            </w:pPr>
            <w:r>
              <w:rPr>
                <w:sz w:val="4"/>
                <w:szCs w:val="4"/>
              </w:rPr>
            </w:r>
          </w:p>
        </w:tc>
        <w:tc>
          <w:tcPr>
            <w:tcW w:w="989" w:type="dxa"/>
            <w:gridSpan w:val="2"/>
            <w:tcBorders/>
            <w:shd w:fill="auto" w:val="clear"/>
            <w:vAlign w:val="center"/>
          </w:tcPr>
          <w:p>
            <w:pPr>
              <w:pStyle w:val="TableContents"/>
              <w:spacing w:before="0" w:after="283"/>
              <w:rPr>
                <w:sz w:val="4"/>
                <w:szCs w:val="4"/>
              </w:rPr>
            </w:pPr>
            <w:r>
              <w:rPr>
                <w:sz w:val="4"/>
                <w:szCs w:val="4"/>
              </w:rPr>
            </w:r>
          </w:p>
        </w:tc>
        <w:tc>
          <w:tcPr>
            <w:tcW w:w="309" w:type="dxa"/>
            <w:gridSpan w:val="2"/>
            <w:tcBorders/>
            <w:shd w:fill="auto" w:val="clear"/>
            <w:vAlign w:val="center"/>
          </w:tcPr>
          <w:p>
            <w:pPr>
              <w:pStyle w:val="TableContents"/>
              <w:spacing w:before="0" w:after="283"/>
              <w:rPr>
                <w:sz w:val="4"/>
                <w:szCs w:val="4"/>
              </w:rPr>
            </w:pPr>
            <w:r>
              <w:rPr>
                <w:sz w:val="4"/>
                <w:szCs w:val="4"/>
              </w:rPr>
            </w:r>
          </w:p>
        </w:tc>
      </w:tr>
      <w:tr>
        <w:trPr/>
        <w:tc>
          <w:tcPr>
            <w:tcW w:w="183" w:type="dxa"/>
            <w:tcBorders/>
            <w:shd w:fill="auto" w:val="clear"/>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7059" w:type="dxa"/>
            <w:gridSpan w:val="3"/>
            <w:tcBorders/>
            <w:shd w:fill="auto" w:val="clear"/>
          </w:tcPr>
          <w:p>
            <w:pPr>
              <w:pStyle w:val="TableContents"/>
              <w:spacing w:before="0" w:after="283"/>
              <w:rPr/>
            </w:pPr>
            <w:r>
              <w:rPr>
                <w:b/>
              </w:rPr>
              <w:t xml:space="preserve">NOTE: </w:t>
            </w:r>
            <w:r>
              <w:rPr/>
              <w:t>Such other business as may properly come before the meeting or any adjournment thereof. *Nominated by the Board of Directors to serve as Class II Directors.</w:t>
            </w:r>
          </w:p>
        </w:tc>
        <w:tc>
          <w:tcPr>
            <w:tcW w:w="175" w:type="dxa"/>
            <w:tcBorders/>
            <w:shd w:fill="auto" w:val="clear"/>
            <w:vAlign w:val="bottom"/>
          </w:tcPr>
          <w:p>
            <w:pPr>
              <w:pStyle w:val="TableContents"/>
              <w:spacing w:before="0" w:after="283"/>
              <w:rPr/>
            </w:pPr>
            <w:r>
              <w:rPr/>
              <w:t>  </w:t>
            </w:r>
          </w:p>
        </w:tc>
        <w:tc>
          <w:tcPr>
            <w:tcW w:w="395" w:type="dxa"/>
            <w:tcBorders/>
            <w:shd w:fill="auto" w:val="clear"/>
            <w:vAlign w:val="bottom"/>
          </w:tcPr>
          <w:p>
            <w:pPr>
              <w:pStyle w:val="TableContents"/>
              <w:spacing w:before="0" w:after="283"/>
              <w:rPr>
                <w:sz w:val="4"/>
                <w:szCs w:val="4"/>
              </w:rPr>
            </w:pPr>
            <w:r>
              <w:rPr>
                <w:sz w:val="4"/>
                <w:szCs w:val="4"/>
              </w:rPr>
            </w:r>
          </w:p>
        </w:tc>
        <w:tc>
          <w:tcPr>
            <w:tcW w:w="175" w:type="dxa"/>
            <w:tcBorders/>
            <w:shd w:fill="auto" w:val="clear"/>
            <w:vAlign w:val="bottom"/>
          </w:tcPr>
          <w:p>
            <w:pPr>
              <w:pStyle w:val="TableContents"/>
              <w:spacing w:before="0" w:after="283"/>
              <w:rPr/>
            </w:pPr>
            <w:r>
              <w:rPr/>
              <w:t>  </w:t>
            </w:r>
          </w:p>
        </w:tc>
        <w:tc>
          <w:tcPr>
            <w:tcW w:w="801" w:type="dxa"/>
            <w:tcBorders/>
            <w:shd w:fill="auto" w:val="clear"/>
            <w:vAlign w:val="bottom"/>
          </w:tcPr>
          <w:p>
            <w:pPr>
              <w:pStyle w:val="TableContents"/>
              <w:spacing w:before="0" w:after="283"/>
              <w:rPr>
                <w:sz w:val="4"/>
                <w:szCs w:val="4"/>
              </w:rPr>
            </w:pPr>
            <w:r>
              <w:rPr>
                <w:sz w:val="4"/>
                <w:szCs w:val="4"/>
              </w:rPr>
            </w:r>
          </w:p>
        </w:tc>
        <w:tc>
          <w:tcPr>
            <w:tcW w:w="174" w:type="dxa"/>
            <w:tcBorders/>
            <w:shd w:fill="auto" w:val="clear"/>
            <w:vAlign w:val="bottom"/>
          </w:tcPr>
          <w:p>
            <w:pPr>
              <w:pStyle w:val="TableContents"/>
              <w:spacing w:before="0" w:after="283"/>
              <w:rPr/>
            </w:pPr>
            <w:r>
              <w:rPr/>
              <w:t>  </w:t>
            </w:r>
          </w:p>
        </w:tc>
        <w:tc>
          <w:tcPr>
            <w:tcW w:w="815" w:type="dxa"/>
            <w:tcBorders/>
            <w:shd w:fill="auto" w:val="clear"/>
            <w:vAlign w:val="bottom"/>
          </w:tcPr>
          <w:p>
            <w:pPr>
              <w:pStyle w:val="TableContents"/>
              <w:spacing w:before="0" w:after="283"/>
              <w:rPr>
                <w:sz w:val="4"/>
                <w:szCs w:val="4"/>
              </w:rPr>
            </w:pPr>
            <w:r>
              <w:rPr>
                <w:sz w:val="4"/>
                <w:szCs w:val="4"/>
              </w:rPr>
            </w:r>
          </w:p>
        </w:tc>
        <w:tc>
          <w:tcPr>
            <w:tcW w:w="119" w:type="dxa"/>
            <w:tcBorders/>
            <w:shd w:fill="auto" w:val="clear"/>
            <w:vAlign w:val="bottom"/>
          </w:tcPr>
          <w:p>
            <w:pPr>
              <w:pStyle w:val="TableContents"/>
              <w:spacing w:before="0" w:after="283"/>
              <w:rPr/>
            </w:pPr>
            <w:r>
              <w:rPr/>
              <w:t> </w:t>
            </w:r>
          </w:p>
        </w:tc>
        <w:tc>
          <w:tcPr>
            <w:tcW w:w="190"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bdr w:val="single" w:sz="12" w:space="2" w:color="000000"/>
        </w:rPr>
      </w:pPr>
      <w:r>
        <w:rPr>
          <w:bdr w:val="single" w:sz="12" w:space="2" w:color="000000"/>
        </w:rPr>
        <w:t> </w:t>
      </w:r>
    </w:p>
    <w:tbl>
      <w:tblPr>
        <w:tblW w:w="5000" w:type="pct"/>
        <w:jc w:val="center"/>
        <w:tblInd w:w="0" w:type="dxa"/>
        <w:tblCellMar>
          <w:top w:w="0" w:type="dxa"/>
          <w:left w:w="0" w:type="dxa"/>
          <w:bottom w:w="0" w:type="dxa"/>
          <w:right w:w="0" w:type="dxa"/>
        </w:tblCellMar>
      </w:tblPr>
      <w:tblGrid>
        <w:gridCol w:w="401"/>
        <w:gridCol w:w="110"/>
        <w:gridCol w:w="4991"/>
        <w:gridCol w:w="122"/>
        <w:gridCol w:w="4581"/>
      </w:tblGrid>
      <w:tr>
        <w:trPr/>
        <w:tc>
          <w:tcPr>
            <w:tcW w:w="401" w:type="dxa"/>
            <w:tcBorders/>
            <w:shd w:fill="auto" w:val="clear"/>
            <w:vAlign w:val="cente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sz w:val="4"/>
                <w:szCs w:val="4"/>
              </w:rPr>
            </w:pPr>
            <w:r>
              <w:rPr>
                <w:sz w:val="4"/>
                <w:szCs w:val="4"/>
              </w:rPr>
            </w:r>
          </w:p>
        </w:tc>
        <w:tc>
          <w:tcPr>
            <w:tcW w:w="4991" w:type="dxa"/>
            <w:tcBorders/>
            <w:shd w:fill="auto" w:val="clear"/>
            <w:vAlign w:val="center"/>
          </w:tcPr>
          <w:p>
            <w:pPr>
              <w:pStyle w:val="TableContents"/>
              <w:spacing w:before="0" w:after="283"/>
              <w:rPr>
                <w:sz w:val="4"/>
                <w:szCs w:val="4"/>
              </w:rPr>
            </w:pPr>
            <w:r>
              <w:rPr>
                <w:sz w:val="4"/>
                <w:szCs w:val="4"/>
              </w:rPr>
            </w:r>
          </w:p>
        </w:tc>
        <w:tc>
          <w:tcPr>
            <w:tcW w:w="122" w:type="dxa"/>
            <w:tcBorders/>
            <w:shd w:fill="auto" w:val="clear"/>
            <w:vAlign w:val="bottom"/>
          </w:tcPr>
          <w:p>
            <w:pPr>
              <w:pStyle w:val="TableContents"/>
              <w:spacing w:before="0" w:after="283"/>
              <w:rPr>
                <w:sz w:val="4"/>
                <w:szCs w:val="4"/>
              </w:rPr>
            </w:pPr>
            <w:r>
              <w:rPr>
                <w:sz w:val="4"/>
                <w:szCs w:val="4"/>
              </w:rPr>
            </w:r>
          </w:p>
        </w:tc>
        <w:tc>
          <w:tcPr>
            <w:tcW w:w="4581" w:type="dxa"/>
            <w:tcBorders/>
            <w:shd w:fill="auto" w:val="clear"/>
            <w:vAlign w:val="center"/>
          </w:tcPr>
          <w:p>
            <w:pPr>
              <w:pStyle w:val="TableContents"/>
              <w:spacing w:before="0" w:after="283"/>
              <w:rPr>
                <w:sz w:val="4"/>
                <w:szCs w:val="4"/>
              </w:rPr>
            </w:pPr>
            <w:r>
              <w:rPr>
                <w:sz w:val="4"/>
                <w:szCs w:val="4"/>
              </w:rPr>
            </w:r>
          </w:p>
        </w:tc>
      </w:tr>
      <w:tr>
        <w:trPr/>
        <w:tc>
          <w:tcPr>
            <w:tcW w:w="401" w:type="dxa"/>
            <w:tcBorders/>
            <w:shd w:fill="auto" w:val="clear"/>
          </w:tcPr>
          <w:p>
            <w:pPr>
              <w:pStyle w:val="TableContents"/>
              <w:spacing w:before="0" w:after="283"/>
              <w:rPr>
                <w:sz w:val="4"/>
                <w:szCs w:val="4"/>
              </w:rPr>
            </w:pPr>
            <w:r>
              <w:rPr>
                <w:sz w:val="4"/>
                <w:szCs w:val="4"/>
              </w:rPr>
            </w:r>
          </w:p>
        </w:tc>
        <w:tc>
          <w:tcPr>
            <w:tcW w:w="110" w:type="dxa"/>
            <w:tcBorders/>
            <w:shd w:fill="auto" w:val="clear"/>
            <w:vAlign w:val="bottom"/>
          </w:tcPr>
          <w:p>
            <w:pPr>
              <w:pStyle w:val="TableContents"/>
              <w:spacing w:before="0" w:after="283"/>
              <w:rPr/>
            </w:pPr>
            <w:r>
              <w:rPr/>
              <w:t> </w:t>
            </w:r>
          </w:p>
        </w:tc>
        <w:tc>
          <w:tcPr>
            <w:tcW w:w="4991" w:type="dxa"/>
            <w:tcBorders/>
            <w:shd w:fill="auto" w:val="clear"/>
          </w:tcPr>
          <w:p>
            <w:pPr>
              <w:pStyle w:val="TableContents"/>
              <w:spacing w:before="0" w:after="283"/>
              <w:rPr/>
            </w:pPr>
            <w:r>
              <w:rPr/>
              <w:t>Please sign exactly as your name(s) appear(s) hereon. When signing as attorney, executor, administrator, or other fiduciary, please give full title as such. Joint owners should each sign personally. All holders must sign. If a corporation or partnership, please sign in full corporate or partnership name by authorized officer.</w:t>
            </w:r>
          </w:p>
        </w:tc>
        <w:tc>
          <w:tcPr>
            <w:tcW w:w="122" w:type="dxa"/>
            <w:tcBorders/>
            <w:shd w:fill="auto" w:val="clear"/>
            <w:vAlign w:val="bottom"/>
          </w:tcPr>
          <w:p>
            <w:pPr>
              <w:pStyle w:val="TableContents"/>
              <w:spacing w:before="0" w:after="283"/>
              <w:rPr/>
            </w:pPr>
            <w:r>
              <w:rPr/>
              <w:t>  </w:t>
            </w:r>
          </w:p>
        </w:tc>
        <w:tc>
          <w:tcPr>
            <w:tcW w:w="4581" w:type="dxa"/>
            <w:tcBorders/>
            <w:shd w:fill="auto" w:val="clear"/>
            <w:vAlign w:val="bottom"/>
          </w:tcPr>
          <w:p>
            <w:pPr>
              <w:pStyle w:val="TableContents"/>
              <w:spacing w:before="0" w:after="283"/>
              <w:rPr>
                <w:sz w:val="4"/>
                <w:szCs w:val="4"/>
              </w:rPr>
            </w:pPr>
            <w:r>
              <w:rPr>
                <w:sz w:val="4"/>
                <w:szCs w:val="4"/>
              </w:rPr>
            </w:r>
          </w:p>
        </w:tc>
      </w:tr>
    </w:tbl>
    <w:p>
      <w:pPr>
        <w:pStyle w:val="TextBody"/>
        <w:spacing w:before="0" w:after="0"/>
        <w:jc w:val="left"/>
        <w:rPr>
          <w:bdr w:val="single" w:sz="12" w:space="2" w:color="000000"/>
        </w:rPr>
      </w:pPr>
      <w:r>
        <w:rPr>
          <w:bdr w:val="single" w:sz="12" w:space="2" w:color="000000"/>
        </w:rPr>
        <w:t> </w:t>
      </w:r>
    </w:p>
    <w:tbl>
      <w:tblPr>
        <w:tblW w:w="5000" w:type="pct"/>
        <w:jc w:val="center"/>
        <w:tblInd w:w="0" w:type="dxa"/>
        <w:tblCellMar>
          <w:top w:w="0" w:type="dxa"/>
          <w:left w:w="0" w:type="dxa"/>
          <w:bottom w:w="0" w:type="dxa"/>
          <w:right w:w="0" w:type="dxa"/>
        </w:tblCellMar>
      </w:tblPr>
      <w:tblGrid>
        <w:gridCol w:w="292"/>
        <w:gridCol w:w="294"/>
        <w:gridCol w:w="2333"/>
        <w:gridCol w:w="108"/>
        <w:gridCol w:w="807"/>
        <w:gridCol w:w="166"/>
        <w:gridCol w:w="323"/>
        <w:gridCol w:w="166"/>
        <w:gridCol w:w="284"/>
        <w:gridCol w:w="1491"/>
        <w:gridCol w:w="1976"/>
        <w:gridCol w:w="108"/>
        <w:gridCol w:w="807"/>
        <w:gridCol w:w="166"/>
        <w:gridCol w:w="884"/>
      </w:tblGrid>
      <w:tr>
        <w:trPr/>
        <w:tc>
          <w:tcPr>
            <w:tcW w:w="292" w:type="dxa"/>
            <w:tcBorders/>
            <w:shd w:fill="auto" w:val="clear"/>
            <w:vAlign w:val="center"/>
          </w:tcPr>
          <w:p>
            <w:pPr>
              <w:pStyle w:val="TableContents"/>
              <w:spacing w:before="0" w:after="283"/>
              <w:rPr>
                <w:sz w:val="4"/>
                <w:szCs w:val="4"/>
              </w:rPr>
            </w:pPr>
            <w:r>
              <w:rPr>
                <w:sz w:val="4"/>
                <w:szCs w:val="4"/>
              </w:rPr>
            </w:r>
          </w:p>
        </w:tc>
        <w:tc>
          <w:tcPr>
            <w:tcW w:w="294" w:type="dxa"/>
            <w:tcBorders/>
            <w:shd w:fill="auto" w:val="clear"/>
            <w:vAlign w:val="bottom"/>
          </w:tcPr>
          <w:p>
            <w:pPr>
              <w:pStyle w:val="TableContents"/>
              <w:spacing w:before="0" w:after="283"/>
              <w:rPr>
                <w:sz w:val="4"/>
                <w:szCs w:val="4"/>
              </w:rPr>
            </w:pPr>
            <w:r>
              <w:rPr>
                <w:sz w:val="4"/>
                <w:szCs w:val="4"/>
              </w:rPr>
            </w:r>
          </w:p>
        </w:tc>
        <w:tc>
          <w:tcPr>
            <w:tcW w:w="2333"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323"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284" w:type="dxa"/>
            <w:tcBorders/>
            <w:shd w:fill="auto" w:val="clear"/>
            <w:vAlign w:val="center"/>
          </w:tcPr>
          <w:p>
            <w:pPr>
              <w:pStyle w:val="TableContents"/>
              <w:spacing w:before="0" w:after="283"/>
              <w:rPr>
                <w:sz w:val="4"/>
                <w:szCs w:val="4"/>
              </w:rPr>
            </w:pPr>
            <w:r>
              <w:rPr>
                <w:sz w:val="4"/>
                <w:szCs w:val="4"/>
              </w:rPr>
            </w:r>
          </w:p>
        </w:tc>
        <w:tc>
          <w:tcPr>
            <w:tcW w:w="1491" w:type="dxa"/>
            <w:tcBorders/>
            <w:shd w:fill="auto" w:val="clear"/>
            <w:vAlign w:val="bottom"/>
          </w:tcPr>
          <w:p>
            <w:pPr>
              <w:pStyle w:val="TableContents"/>
              <w:spacing w:before="0" w:after="283"/>
              <w:rPr>
                <w:sz w:val="4"/>
                <w:szCs w:val="4"/>
              </w:rPr>
            </w:pPr>
            <w:r>
              <w:rPr>
                <w:sz w:val="4"/>
                <w:szCs w:val="4"/>
              </w:rPr>
            </w:r>
          </w:p>
        </w:tc>
        <w:tc>
          <w:tcPr>
            <w:tcW w:w="1976" w:type="dxa"/>
            <w:tcBorders/>
            <w:shd w:fill="auto" w:val="clear"/>
            <w:vAlign w:val="center"/>
          </w:tcPr>
          <w:p>
            <w:pPr>
              <w:pStyle w:val="TableContents"/>
              <w:spacing w:before="0" w:after="283"/>
              <w:rPr>
                <w:sz w:val="4"/>
                <w:szCs w:val="4"/>
              </w:rPr>
            </w:pPr>
            <w:r>
              <w:rPr>
                <w:sz w:val="4"/>
                <w:szCs w:val="4"/>
              </w:rPr>
            </w:r>
          </w:p>
        </w:tc>
        <w:tc>
          <w:tcPr>
            <w:tcW w:w="108" w:type="dxa"/>
            <w:tcBorders/>
            <w:shd w:fill="auto" w:val="clear"/>
            <w:vAlign w:val="bottom"/>
          </w:tcPr>
          <w:p>
            <w:pPr>
              <w:pStyle w:val="TableContents"/>
              <w:spacing w:before="0" w:after="283"/>
              <w:rPr>
                <w:sz w:val="4"/>
                <w:szCs w:val="4"/>
              </w:rPr>
            </w:pPr>
            <w:r>
              <w:rPr>
                <w:sz w:val="4"/>
                <w:szCs w:val="4"/>
              </w:rPr>
            </w:r>
          </w:p>
        </w:tc>
        <w:tc>
          <w:tcPr>
            <w:tcW w:w="807" w:type="dxa"/>
            <w:tcBorders/>
            <w:shd w:fill="auto" w:val="clear"/>
            <w:vAlign w:val="center"/>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sz w:val="4"/>
                <w:szCs w:val="4"/>
              </w:rPr>
            </w:pPr>
            <w:r>
              <w:rPr>
                <w:sz w:val="4"/>
                <w:szCs w:val="4"/>
              </w:rPr>
            </w:r>
          </w:p>
        </w:tc>
        <w:tc>
          <w:tcPr>
            <w:tcW w:w="884" w:type="dxa"/>
            <w:tcBorders/>
            <w:shd w:fill="auto" w:val="clear"/>
            <w:vAlign w:val="center"/>
          </w:tcPr>
          <w:p>
            <w:pPr>
              <w:pStyle w:val="TableContents"/>
              <w:spacing w:before="0" w:after="283"/>
              <w:rPr>
                <w:sz w:val="4"/>
                <w:szCs w:val="4"/>
              </w:rPr>
            </w:pPr>
            <w:r>
              <w:rPr>
                <w:sz w:val="4"/>
                <w:szCs w:val="4"/>
              </w:rPr>
            </w:r>
          </w:p>
        </w:tc>
      </w:tr>
      <w:tr>
        <w:trPr/>
        <w:tc>
          <w:tcPr>
            <w:tcW w:w="292" w:type="dxa"/>
            <w:tcBorders/>
            <w:shd w:fill="auto" w:val="clear"/>
          </w:tcPr>
          <w:p>
            <w:pPr>
              <w:pStyle w:val="TableContents"/>
              <w:spacing w:before="0" w:after="283"/>
              <w:rPr>
                <w:sz w:val="4"/>
                <w:szCs w:val="4"/>
              </w:rPr>
            </w:pPr>
            <w:r>
              <w:rPr>
                <w:sz w:val="4"/>
                <w:szCs w:val="4"/>
              </w:rPr>
            </w:r>
          </w:p>
        </w:tc>
        <w:tc>
          <w:tcPr>
            <w:tcW w:w="294"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2333" w:type="dxa"/>
            <w:tcBorders>
              <w:top w:val="single" w:sz="2" w:space="0" w:color="000000"/>
              <w:bottom w:val="single" w:sz="12" w:space="0" w:color="000000"/>
              <w:right w:val="single" w:sz="2" w:space="0" w:color="000000"/>
            </w:tcBorders>
            <w:shd w:fill="auto" w:val="clear"/>
            <w:tcMar>
              <w:top w:w="28" w:type="dxa"/>
              <w:bottom w:w="28" w:type="dxa"/>
              <w:right w:w="28" w:type="dxa"/>
            </w:tcMar>
          </w:tcPr>
          <w:p>
            <w:pPr>
              <w:pStyle w:val="TableContents"/>
              <w:spacing w:before="0" w:after="0"/>
              <w:rPr/>
            </w:pPr>
            <w:r>
              <w:rPr/>
              <w:t>    </w:t>
            </w:r>
          </w:p>
          <w:p>
            <w:pPr>
              <w:pStyle w:val="TableContents"/>
              <w:spacing w:before="0" w:after="20"/>
              <w:rPr/>
            </w:pPr>
            <w:r>
              <w:rPr/>
              <w:t>    </w:t>
            </w:r>
          </w:p>
        </w:tc>
        <w:tc>
          <w:tcPr>
            <w:tcW w:w="108" w:type="dxa"/>
            <w:tcBorders>
              <w:top w:val="single" w:sz="2" w:space="0" w:color="000000"/>
              <w:bottom w:val="single" w:sz="12" w:space="0" w:color="000000"/>
            </w:tcBorders>
            <w:shd w:fill="auto" w:val="clear"/>
            <w:tcMar>
              <w:top w:w="28" w:type="dxa"/>
              <w:bottom w:w="28" w:type="dxa"/>
            </w:tcMar>
            <w:vAlign w:val="bottom"/>
          </w:tcPr>
          <w:p>
            <w:pPr>
              <w:pStyle w:val="TableContents"/>
              <w:spacing w:before="0" w:after="283"/>
              <w:rPr/>
            </w:pPr>
            <w:r>
              <w:rPr/>
              <w:t> </w:t>
            </w:r>
          </w:p>
        </w:tc>
        <w:tc>
          <w:tcPr>
            <w:tcW w:w="807" w:type="dxa"/>
            <w:tcBorders>
              <w:top w:val="single" w:sz="2" w:space="0" w:color="000000"/>
              <w:bottom w:val="single" w:sz="1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pPr>
            <w:r>
              <w:rPr/>
              <w:t>  </w:t>
            </w:r>
          </w:p>
        </w:tc>
        <w:tc>
          <w:tcPr>
            <w:tcW w:w="284" w:type="dxa"/>
            <w:tcBorders/>
            <w:shd w:fill="auto" w:val="clear"/>
            <w:vAlign w:val="bottom"/>
          </w:tcPr>
          <w:p>
            <w:pPr>
              <w:pStyle w:val="TableContents"/>
              <w:spacing w:before="0" w:after="283"/>
              <w:rPr>
                <w:sz w:val="4"/>
                <w:szCs w:val="4"/>
              </w:rPr>
            </w:pPr>
            <w:r>
              <w:rPr>
                <w:sz w:val="4"/>
                <w:szCs w:val="4"/>
              </w:rPr>
            </w:r>
          </w:p>
        </w:tc>
        <w:tc>
          <w:tcPr>
            <w:tcW w:w="1491" w:type="dxa"/>
            <w:tcBorders>
              <w:top w:val="single" w:sz="2" w:space="0" w:color="000000"/>
              <w:left w:val="single" w:sz="2" w:space="0" w:color="000000"/>
              <w:bottom w:val="single" w:sz="12" w:space="0" w:color="000000"/>
            </w:tcBorders>
            <w:shd w:fill="auto" w:val="clear"/>
            <w:tcMar>
              <w:top w:w="28" w:type="dxa"/>
              <w:left w:w="28" w:type="dxa"/>
              <w:bottom w:w="28" w:type="dxa"/>
            </w:tcMar>
            <w:vAlign w:val="bottom"/>
          </w:tcPr>
          <w:p>
            <w:pPr>
              <w:pStyle w:val="TableContents"/>
              <w:spacing w:before="0" w:after="283"/>
              <w:rPr/>
            </w:pPr>
            <w:r>
              <w:rPr/>
              <w:t>  </w:t>
            </w:r>
          </w:p>
        </w:tc>
        <w:tc>
          <w:tcPr>
            <w:tcW w:w="1976" w:type="dxa"/>
            <w:tcBorders>
              <w:top w:val="single" w:sz="2" w:space="0" w:color="000000"/>
              <w:bottom w:val="single" w:sz="12" w:space="0" w:color="000000"/>
              <w:right w:val="single" w:sz="2" w:space="0" w:color="000000"/>
            </w:tcBorders>
            <w:shd w:fill="auto" w:val="clear"/>
            <w:tcMar>
              <w:top w:w="28" w:type="dxa"/>
              <w:bottom w:w="28" w:type="dxa"/>
              <w:right w:w="28" w:type="dxa"/>
            </w:tcMar>
          </w:tcPr>
          <w:p>
            <w:pPr>
              <w:pStyle w:val="TableContents"/>
              <w:spacing w:before="0" w:after="283"/>
              <w:rPr/>
            </w:pPr>
            <w:r>
              <w:rPr/>
              <w:t> </w:t>
            </w:r>
          </w:p>
        </w:tc>
        <w:tc>
          <w:tcPr>
            <w:tcW w:w="108" w:type="dxa"/>
            <w:tcBorders>
              <w:top w:val="single" w:sz="2" w:space="0" w:color="000000"/>
              <w:bottom w:val="single" w:sz="12" w:space="0" w:color="000000"/>
            </w:tcBorders>
            <w:shd w:fill="auto" w:val="clear"/>
            <w:tcMar>
              <w:top w:w="28" w:type="dxa"/>
              <w:bottom w:w="28" w:type="dxa"/>
            </w:tcMar>
            <w:vAlign w:val="bottom"/>
          </w:tcPr>
          <w:p>
            <w:pPr>
              <w:pStyle w:val="TableContents"/>
              <w:spacing w:before="0" w:after="283"/>
              <w:rPr/>
            </w:pPr>
            <w:r>
              <w:rPr/>
              <w:t> </w:t>
            </w:r>
          </w:p>
        </w:tc>
        <w:tc>
          <w:tcPr>
            <w:tcW w:w="807" w:type="dxa"/>
            <w:tcBorders>
              <w:top w:val="single" w:sz="2" w:space="0" w:color="000000"/>
              <w:bottom w:val="single" w:sz="12" w:space="0" w:color="000000"/>
              <w:right w:val="single" w:sz="2" w:space="0" w:color="000000"/>
            </w:tcBorders>
            <w:shd w:fill="auto" w:val="clear"/>
            <w:tcMar>
              <w:top w:w="28" w:type="dxa"/>
              <w:bottom w:w="28" w:type="dxa"/>
              <w:right w:w="28" w:type="dxa"/>
            </w:tcMar>
            <w:vAlign w:val="bottom"/>
          </w:tcPr>
          <w:p>
            <w:pPr>
              <w:pStyle w:val="TableContents"/>
              <w:spacing w:before="0" w:after="283"/>
              <w:rPr/>
            </w:pPr>
            <w:r>
              <w:rPr/>
              <w:t> </w:t>
            </w:r>
          </w:p>
        </w:tc>
        <w:tc>
          <w:tcPr>
            <w:tcW w:w="166"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rPr>
                <w:sz w:val="4"/>
                <w:szCs w:val="4"/>
              </w:rPr>
            </w:pPr>
            <w:r>
              <w:rPr>
                <w:sz w:val="4"/>
                <w:szCs w:val="4"/>
              </w:rPr>
            </w:r>
          </w:p>
        </w:tc>
      </w:tr>
      <w:tr>
        <w:trPr/>
        <w:tc>
          <w:tcPr>
            <w:tcW w:w="2919" w:type="dxa"/>
            <w:gridSpan w:val="3"/>
            <w:tcBorders/>
            <w:shd w:fill="auto" w:val="clear"/>
          </w:tcPr>
          <w:p>
            <w:pPr>
              <w:pStyle w:val="TableContents"/>
              <w:spacing w:before="0" w:after="20"/>
              <w:rPr/>
            </w:pPr>
            <w:r>
              <w:rPr/>
              <w:t>             </w:t>
            </w:r>
            <w:r>
              <w:rPr>
                <w:rFonts w:ascii="Times New Roman" w:hAnsi="Times New Roman"/>
                <w:sz w:val="14"/>
              </w:rPr>
              <w:t>Signature [PLEASE SIGN WITHIN BOX]</w:t>
            </w:r>
          </w:p>
        </w:tc>
        <w:tc>
          <w:tcPr>
            <w:tcW w:w="108"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Date</w:t>
            </w:r>
          </w:p>
        </w:tc>
        <w:tc>
          <w:tcPr>
            <w:tcW w:w="166" w:type="dxa"/>
            <w:tcBorders/>
            <w:shd w:fill="auto" w:val="clear"/>
            <w:vAlign w:val="bottom"/>
          </w:tcPr>
          <w:p>
            <w:pPr>
              <w:pStyle w:val="TableContents"/>
              <w:spacing w:before="0" w:after="283"/>
              <w:rPr/>
            </w:pPr>
            <w:r>
              <w:rPr/>
              <w:t>  </w:t>
            </w:r>
          </w:p>
        </w:tc>
        <w:tc>
          <w:tcPr>
            <w:tcW w:w="323" w:type="dxa"/>
            <w:tcBorders/>
            <w:shd w:fill="auto" w:val="clear"/>
            <w:vAlign w:val="bottom"/>
          </w:tcPr>
          <w:p>
            <w:pPr>
              <w:pStyle w:val="TableContents"/>
              <w:spacing w:before="0" w:after="283"/>
              <w:rPr>
                <w:sz w:val="4"/>
                <w:szCs w:val="4"/>
              </w:rPr>
            </w:pPr>
            <w:r>
              <w:rPr>
                <w:sz w:val="4"/>
                <w:szCs w:val="4"/>
              </w:rPr>
            </w:r>
          </w:p>
        </w:tc>
        <w:tc>
          <w:tcPr>
            <w:tcW w:w="166" w:type="dxa"/>
            <w:tcBorders/>
            <w:shd w:fill="auto" w:val="clear"/>
            <w:vAlign w:val="bottom"/>
          </w:tcPr>
          <w:p>
            <w:pPr>
              <w:pStyle w:val="TableContents"/>
              <w:spacing w:before="0" w:after="283"/>
              <w:rPr/>
            </w:pPr>
            <w:r>
              <w:rPr/>
              <w:t>  </w:t>
            </w:r>
          </w:p>
        </w:tc>
        <w:tc>
          <w:tcPr>
            <w:tcW w:w="3751" w:type="dxa"/>
            <w:gridSpan w:val="3"/>
            <w:tcBorders/>
            <w:shd w:fill="auto" w:val="clear"/>
            <w:vAlign w:val="bottom"/>
          </w:tcPr>
          <w:p>
            <w:pPr>
              <w:pStyle w:val="TableContents"/>
              <w:spacing w:before="0" w:after="283"/>
              <w:rPr/>
            </w:pPr>
            <w:r>
              <w:rPr/>
              <w:t>  </w:t>
            </w:r>
            <w:r>
              <w:rPr/>
              <w:t>Signature (Joint Owners)</w:t>
            </w:r>
          </w:p>
        </w:tc>
        <w:tc>
          <w:tcPr>
            <w:tcW w:w="108" w:type="dxa"/>
            <w:tcBorders/>
            <w:shd w:fill="auto" w:val="clear"/>
            <w:vAlign w:val="bottom"/>
          </w:tcPr>
          <w:p>
            <w:pPr>
              <w:pStyle w:val="TableContents"/>
              <w:spacing w:before="0" w:after="283"/>
              <w:rPr/>
            </w:pPr>
            <w:r>
              <w:rPr/>
              <w:t> </w:t>
            </w:r>
          </w:p>
        </w:tc>
        <w:tc>
          <w:tcPr>
            <w:tcW w:w="807" w:type="dxa"/>
            <w:tcBorders/>
            <w:shd w:fill="auto" w:val="clear"/>
            <w:vAlign w:val="bottom"/>
          </w:tcPr>
          <w:p>
            <w:pPr>
              <w:pStyle w:val="TableContents"/>
              <w:spacing w:before="0" w:after="283"/>
              <w:rPr/>
            </w:pPr>
            <w:r>
              <w:rPr/>
              <w:t>Date</w:t>
            </w:r>
          </w:p>
        </w:tc>
        <w:tc>
          <w:tcPr>
            <w:tcW w:w="166" w:type="dxa"/>
            <w:tcBorders/>
            <w:shd w:fill="auto" w:val="clear"/>
            <w:vAlign w:val="bottom"/>
          </w:tcPr>
          <w:p>
            <w:pPr>
              <w:pStyle w:val="TableContents"/>
              <w:spacing w:before="0" w:after="283"/>
              <w:rPr/>
            </w:pPr>
            <w:r>
              <w:rPr/>
              <w:t>  </w:t>
            </w:r>
          </w:p>
        </w:tc>
        <w:tc>
          <w:tcPr>
            <w:tcW w:w="884" w:type="dxa"/>
            <w:tcBorders/>
            <w:shd w:fill="auto" w:val="clear"/>
            <w:vAlign w:val="bottom"/>
          </w:tcPr>
          <w:p>
            <w:pPr>
              <w:pStyle w:val="TableContents"/>
              <w:spacing w:before="0" w:after="283"/>
              <w:rPr>
                <w:sz w:val="4"/>
                <w:szCs w:val="4"/>
              </w:rPr>
            </w:pPr>
            <w:r>
              <w:rPr>
                <w:sz w:val="4"/>
                <w:szCs w:val="4"/>
              </w:rPr>
            </w:r>
          </w:p>
        </w:tc>
      </w:tr>
    </w:tbl>
    <w:p>
      <w:pPr>
        <w:pStyle w:val="HorizontalLine"/>
        <w:pBdr>
          <w:bottom w:val="double" w:sz="6" w:space="0" w:color="808080"/>
        </w:pBdr>
        <w:rPr/>
      </w:pPr>
      <w:r>
        <w:br w:type="page"/>
      </w:r>
      <w:r>
        <w:rPr/>
      </w:r>
    </w:p>
    <w:p>
      <w:pPr>
        <w:pStyle w:val="Heading5"/>
        <w:jc w:val="left"/>
        <w:rPr/>
      </w:pPr>
      <w:hyperlink w:anchor="toc">
        <w:r>
          <w:rPr>
            <w:rStyle w:val="InternetLink"/>
          </w:rPr>
          <w:t>Table of Contents</w:t>
        </w:r>
      </w:hyperlink>
    </w:p>
    <w:p>
      <w:pPr>
        <w:pStyle w:val="TextBody"/>
        <w:spacing w:before="3200" w:after="0"/>
        <w:jc w:val="center"/>
        <w:rPr>
          <w:rFonts w:ascii="Times New Roman" w:hAnsi="Times New Roman"/>
          <w:b/>
          <w:sz w:val="20"/>
        </w:rPr>
      </w:pPr>
      <w:r>
        <w:rPr>
          <w:rFonts w:ascii="Times New Roman" w:hAnsi="Times New Roman"/>
          <w:b/>
          <w:sz w:val="20"/>
        </w:rPr>
        <w:t xml:space="preserve">Important Notice Regarding the Availability of Proxy Materials for the Annual Meeting: </w:t>
      </w:r>
    </w:p>
    <w:p>
      <w:pPr>
        <w:pStyle w:val="TextBody"/>
        <w:spacing w:before="0" w:after="0"/>
        <w:jc w:val="center"/>
        <w:rPr>
          <w:rFonts w:ascii="Times New Roman" w:hAnsi="Times New Roman"/>
          <w:sz w:val="20"/>
        </w:rPr>
      </w:pPr>
      <w:r>
        <w:rPr>
          <w:rFonts w:ascii="Times New Roman" w:hAnsi="Times New Roman"/>
          <w:sz w:val="20"/>
        </w:rPr>
        <w:t xml:space="preserve">The Annual Report and Notice and Proxy Statement are available at www.proxyvote.com </w:t>
      </w:r>
    </w:p>
    <w:p>
      <w:pPr>
        <w:pStyle w:val="TextBody"/>
        <w:spacing w:before="3200" w:after="0"/>
        <w:jc w:val="center"/>
        <w:rPr>
          <w:rFonts w:ascii="Times New Roman" w:hAnsi="Times New Roman"/>
          <w:sz w:val="20"/>
        </w:rPr>
      </w:pPr>
      <w:r>
        <w:rPr>
          <w:rFonts w:ascii="Times New Roman" w:hAnsi="Times New Roman"/>
          <w:sz w:val="20"/>
        </w:rPr>
        <w:t xml:space="preserve">                                                   </w:t>
      </w:r>
    </w:p>
    <w:p>
      <w:pPr>
        <w:pStyle w:val="TextBody"/>
        <w:spacing w:before="40" w:after="0"/>
        <w:jc w:val="right"/>
        <w:rPr>
          <w:rFonts w:ascii="Times New Roman" w:hAnsi="Times New Roman"/>
          <w:sz w:val="14"/>
        </w:rPr>
      </w:pPr>
      <w:r>
        <w:rPr>
          <w:rFonts w:ascii="Times New Roman" w:hAnsi="Times New Roman"/>
          <w:sz w:val="14"/>
        </w:rPr>
        <w:t xml:space="preserve">D36734-P49950 </w:t>
      </w:r>
    </w:p>
    <w:p>
      <w:pPr>
        <w:pStyle w:val="TextBody"/>
        <w:spacing w:before="0" w:after="0"/>
        <w:jc w:val="left"/>
        <w:rPr/>
      </w:pPr>
      <w:r>
        <w:rPr/>
        <w:t> </w:t>
      </w:r>
    </w:p>
    <w:p>
      <w:pPr>
        <w:pStyle w:val="TextBody"/>
        <w:spacing w:before="0" w:after="0"/>
        <w:jc w:val="left"/>
        <w:rPr>
          <w:bdr w:val="single" w:sz="16" w:space="2" w:color="000000"/>
        </w:rPr>
      </w:pPr>
      <w:r>
        <w:rPr>
          <w:bdr w:val="single" w:sz="16" w:space="2" w:color="000000"/>
        </w:rPr>
        <w:t> </w:t>
      </w:r>
    </w:p>
    <w:p>
      <w:pPr>
        <w:pStyle w:val="TextBody"/>
        <w:pBdr/>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HURON CONSULTING GROUP INC. </w:t>
      </w:r>
    </w:p>
    <w:p>
      <w:pPr>
        <w:pStyle w:val="TextBody"/>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Annual Meeting of Stockholders </w:t>
      </w:r>
    </w:p>
    <w:p>
      <w:pPr>
        <w:pStyle w:val="TextBody"/>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May 7, 2021 11:00 AM CT </w:t>
      </w:r>
    </w:p>
    <w:p>
      <w:pPr>
        <w:pStyle w:val="TextBody"/>
        <w:spacing w:before="0" w:after="0"/>
        <w:jc w:val="center"/>
        <w:rPr>
          <w:rFonts w:ascii="Times New Roman" w:hAnsi="Times New Roman"/>
          <w:b/>
          <w:sz w:val="24"/>
          <w:bdr w:val="single" w:sz="16" w:space="2" w:color="000000"/>
        </w:rPr>
      </w:pPr>
      <w:r>
        <w:rPr>
          <w:rFonts w:ascii="Times New Roman" w:hAnsi="Times New Roman"/>
          <w:b/>
          <w:sz w:val="24"/>
          <w:bdr w:val="single" w:sz="16" w:space="2" w:color="000000"/>
        </w:rPr>
        <w:t xml:space="preserve">This proxy is solicited by the Board of Directors </w:t>
      </w:r>
    </w:p>
    <w:p>
      <w:pPr>
        <w:pStyle w:val="TextBody"/>
        <w:spacing w:before="240" w:after="0"/>
        <w:jc w:val="left"/>
        <w:rPr>
          <w:rFonts w:ascii="Times New Roman" w:hAnsi="Times New Roman"/>
          <w:sz w:val="24"/>
          <w:bdr w:val="single" w:sz="16" w:space="2" w:color="000000"/>
        </w:rPr>
      </w:pPr>
      <w:r>
        <w:rPr>
          <w:rFonts w:ascii="Times New Roman" w:hAnsi="Times New Roman"/>
          <w:sz w:val="24"/>
          <w:bdr w:val="single" w:sz="16" w:space="2" w:color="000000"/>
        </w:rPr>
        <w:t xml:space="preserve">The stockholder(s) hereby appoint(s) James H. Roth and Ernest W. Torain, Jr., or either of them, as proxies, each with the power to appoint his substitute, and hereby authorize(s) them to represent and to vote, as designated on the reverse side of this ballot, all of the shares of (Common/Preferred) stock of HURON CONSULTING GROUP INC. that the stockholder(s) is/are entitled to vote at the Annual Meeting of Stockholders to be held at 11:00 AM, CT on May 7, 2021, in a virtual meeting format via live audio webcast at www.virtualshareholdermeeting.com/HURN2021, and any adjournment or postponement thereof. </w:t>
      </w:r>
    </w:p>
    <w:p>
      <w:pPr>
        <w:pStyle w:val="TextBody"/>
        <w:spacing w:before="240" w:after="0"/>
        <w:jc w:val="left"/>
        <w:rPr>
          <w:rFonts w:ascii="Times New Roman" w:hAnsi="Times New Roman"/>
          <w:b/>
          <w:sz w:val="24"/>
          <w:bdr w:val="single" w:sz="16" w:space="2" w:color="000000"/>
        </w:rPr>
      </w:pPr>
      <w:r>
        <w:rPr>
          <w:rFonts w:ascii="Times New Roman" w:hAnsi="Times New Roman"/>
          <w:b/>
          <w:sz w:val="24"/>
          <w:bdr w:val="single" w:sz="16" w:space="2" w:color="000000"/>
        </w:rPr>
        <w:t xml:space="preserve">This proxy, when properly executed, will be voted in the manner directed herein. If no such direction is made, this proxy will be voted in accordance with the Board of Directors recommendations. </w:t>
      </w:r>
    </w:p>
    <w:p>
      <w:pPr>
        <w:pStyle w:val="TextBody"/>
        <w:pBdr/>
        <w:spacing w:before="480" w:after="0"/>
        <w:jc w:val="center"/>
        <w:rPr>
          <w:rFonts w:ascii="Times New Roman" w:hAnsi="Times New Roman"/>
          <w:b/>
          <w:sz w:val="20"/>
          <w:bdr w:val="single" w:sz="16" w:space="2" w:color="000000"/>
        </w:rPr>
      </w:pPr>
      <w:r>
        <w:rPr>
          <w:rFonts w:ascii="Times New Roman" w:hAnsi="Times New Roman"/>
          <w:b/>
          <w:sz w:val="20"/>
          <w:bdr w:val="single" w:sz="16" w:space="2" w:color="000000"/>
        </w:rPr>
        <w:t xml:space="preserve">(Continued and to be signed on reverse side) </w:t>
      </w:r>
    </w:p>
    <w:p>
      <w:pPr>
        <w:pStyle w:val="TextBody"/>
        <w:spacing w:before="0" w:after="0"/>
        <w:jc w:val="left"/>
        <w:rPr>
          <w:bdr w:val="single" w:sz="16" w:space="2" w:color="000000"/>
        </w:rPr>
      </w:pPr>
      <w:r>
        <w:rPr>
          <w:bdr w:val="single" w:sz="16" w:space="2" w:color="000000"/>
        </w:rPr>
        <w:t> </w:t>
      </w:r>
    </w:p>
    <w:p>
      <w:pPr>
        <w:pStyle w:val="TextBody"/>
        <w:spacing w:before="0" w:after="0"/>
        <w:jc w:val="left"/>
        <w:rPr>
          <w:bdr w:val="single" w:sz="16" w:space="2" w:color="000000"/>
        </w:rPr>
      </w:pPr>
      <w:r>
        <w:rPr>
          <w:bdr w:val="single" w:sz="16" w:space="2" w:color="000000"/>
        </w:rPr>
        <w:t> </w:t>
      </w:r>
    </w:p>
    <w:sectPr>
      <w:type w:val="nextPage"/>
      <w:pgSz w:w="11906" w:h="16838"/>
      <w:pgMar w:left="1134" w:right="567" w:header="0" w:top="567" w:footer="0" w:bottom="567" w:gutter="0"/>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Liberation Sans Unicode MS">
    <w:charset w:val="00"/>
    <w:family w:val="auto"/>
    <w:pitch w:val="variable"/>
  </w:font>
  <w:font w:name="Liberation Sans">
    <w:altName w:val="Arial"/>
    <w:charset w:val="00"/>
    <w:family w:val="swiss"/>
    <w:pitch w:val="variable"/>
  </w:font>
  <w:font w:name="Times New Roman">
    <w:charset w:val="00"/>
    <w:family w:val="auto"/>
    <w:pitch w:val="default"/>
  </w:font>
  <w:font w:name="arial">
    <w:charset w:val="00"/>
    <w:family w:val="auto"/>
    <w:pitch w:val="default"/>
  </w:font>
  <w:font w:name="ARIAL">
    <w:charset w:val="00"/>
    <w:family w:val="auto"/>
    <w:pitch w:val="default"/>
  </w:font>
  <w:font w:name="WINGDINGS">
    <w:charset w:val="00"/>
    <w:family w:val="auto"/>
    <w:pitch w:val="default"/>
  </w:font>
</w:fonts>
</file>

<file path=word/settings.xml><?xml version="1.0" encoding="utf-8"?>
<w:settings xmlns:w="http://schemas.openxmlformats.org/wordprocessingml/2006/main">
  <w:zoom w:percent="100"/>
  <w:defaultTabStop w:val="1134"/>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WenQuanYi Zen Hei Sharp" w:cs="DejaVu Sans"/>
        <w:sz w:val="24"/>
        <w:szCs w:val="24"/>
        <w:lang w:val="en-US" w:eastAsia="zh-CN" w:bidi="hi-IN"/>
      </w:rPr>
    </w:rPrDefault>
    <w:pPrDefault>
      <w:pPr/>
    </w:pPrDefault>
  </w:docDefaults>
  <w:style w:type="paragraph" w:styleId="Normal">
    <w:name w:val="Normal"/>
    <w:qFormat/>
    <w:pPr>
      <w:widowControl w:val="false"/>
      <w:kinsoku w:val="true"/>
      <w:overflowPunct w:val="true"/>
      <w:autoSpaceDE w:val="true"/>
      <w:bidi w:val="0"/>
    </w:pPr>
    <w:rPr>
      <w:rFonts w:ascii="Liberation Serif" w:hAnsi="Liberation Serif" w:eastAsia="WenQuanYi Zen Hei Sharp" w:cs="DejaVu Sans"/>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5">
    <w:name w:val="Heading 5"/>
    <w:basedOn w:val="Heading"/>
    <w:next w:val="TextBody"/>
    <w:qFormat/>
    <w:pPr>
      <w:numPr>
        <w:ilvl w:val="0"/>
        <w:numId w:val="0"/>
      </w:numPr>
      <w:spacing w:before="120" w:after="60"/>
      <w:outlineLvl w:val="4"/>
    </w:pPr>
    <w:rPr>
      <w:rFonts w:ascii="Liberation Serif" w:hAnsi="Liberation Serif" w:eastAsia="WenQuanYi Zen Hei Sharp" w:cs="DejaVu Sans"/>
      <w:b/>
      <w:bCs/>
      <w:sz w:val="20"/>
      <w:szCs w:val="20"/>
    </w:rPr>
  </w:style>
  <w:style w:type="character" w:styleId="EndnoteCharacters">
    <w:name w:val="Endnote Characters"/>
    <w:qFormat/>
    <w:rPr/>
  </w:style>
  <w:style w:type="character" w:styleId="FootnoteCharacters">
    <w:name w:val="Footnote Characters"/>
    <w:qFormat/>
    <w:rPr/>
  </w:style>
  <w:style w:type="character" w:styleId="InternetLink">
    <w:name w:val="Internet 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DejaVu Sans"/>
    </w:rPr>
  </w:style>
  <w:style w:type="paragraph" w:styleId="Caption">
    <w:name w:val="Caption"/>
    <w:basedOn w:val="Normal"/>
    <w:qFormat/>
    <w:pPr>
      <w:suppressLineNumbers/>
      <w:spacing w:before="120" w:after="120"/>
    </w:pPr>
    <w:rPr>
      <w:rFonts w:cs="DejaVu Sans"/>
      <w:i/>
      <w:iCs/>
      <w:sz w:val="24"/>
      <w:szCs w:val="24"/>
    </w:rPr>
  </w:style>
  <w:style w:type="paragraph" w:styleId="List">
    <w:name w:val="List"/>
    <w:basedOn w:val="TextBody"/>
    <w:pPr/>
    <w:rPr>
      <w:rFonts w:cs="DejaVu Sans"/>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image" Target="media/image9.jpeg"/><Relationship Id="rId11" Type="http://schemas.openxmlformats.org/officeDocument/2006/relationships/image" Target="media/image10.jpeg"/><Relationship Id="rId12" Type="http://schemas.openxmlformats.org/officeDocument/2006/relationships/image" Target="media/image11.jpeg"/><Relationship Id="rId13" Type="http://schemas.openxmlformats.org/officeDocument/2006/relationships/image" Target="media/image12.jpeg"/><Relationship Id="rId14" Type="http://schemas.openxmlformats.org/officeDocument/2006/relationships/image" Target="media/image13.jpeg"/><Relationship Id="rId15" Type="http://schemas.openxmlformats.org/officeDocument/2006/relationships/image" Target="media/image14.jpeg"/><Relationship Id="rId16" Type="http://schemas.openxmlformats.org/officeDocument/2006/relationships/image" Target="media/image15.jpeg"/><Relationship Id="rId17" Type="http://schemas.openxmlformats.org/officeDocument/2006/relationships/image" Target="media/image16.jpeg"/><Relationship Id="rId18" Type="http://schemas.openxmlformats.org/officeDocument/2006/relationships/image" Target="media/image17.jpeg"/><Relationship Id="rId19" Type="http://schemas.openxmlformats.org/officeDocument/2006/relationships/image" Target="media/image18.jpeg"/><Relationship Id="rId20" Type="http://schemas.openxmlformats.org/officeDocument/2006/relationships/image" Target="media/image19.jpeg"/><Relationship Id="rId21" Type="http://schemas.openxmlformats.org/officeDocument/2006/relationships/image" Target="media/image20.jpeg"/><Relationship Id="rId22" Type="http://schemas.openxmlformats.org/officeDocument/2006/relationships/image" Target="media/image21.jpeg"/><Relationship Id="rId23" Type="http://schemas.openxmlformats.org/officeDocument/2006/relationships/image" Target="media/image22.jpeg"/><Relationship Id="rId24" Type="http://schemas.openxmlformats.org/officeDocument/2006/relationships/image" Target="media/image23.jpeg"/><Relationship Id="rId25" Type="http://schemas.openxmlformats.org/officeDocument/2006/relationships/image" Target="media/image24.jpeg"/><Relationship Id="rId26" Type="http://schemas.openxmlformats.org/officeDocument/2006/relationships/image" Target="media/image25.jpeg"/><Relationship Id="rId27" Type="http://schemas.openxmlformats.org/officeDocument/2006/relationships/fontTable" Target="fontTable.xml"/><Relationship Id="rId2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LibreOffice/6.2.2.2$Linux_X86_64 LibreOffice_project/2b840030fec2aae0fd2658d8d4f9548af4e3518d</Application>
  <Pages>67</Pages>
  <Words>34404</Words>
  <CharactersWithSpaces>218354</CharactersWithSpaces>
  <Paragraphs>6160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DEF 14A</dc:title>
</cp:coreProperties>
</file>