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109220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29"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137160</wp:posOffset>
            </wp:positionV>
            <wp:extent cx="1294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ectPr>
          <w:pgSz w:w="11900" w:h="16838" w:orient="portrait"/>
          <w:cols w:equalWidth="0" w:num="1">
            <w:col w:w="11260"/>
          </w:cols>
          <w:pgMar w:left="320" w:top="247" w:right="319" w:bottom="1440" w:gutter="0" w:footer="0" w:header="0"/>
        </w:sectPr>
      </w:pP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28" w:lineRule="exact"/>
        <w:rPr>
          <w:sz w:val="24"/>
          <w:szCs w:val="24"/>
          <w:color w:val="auto"/>
        </w:rPr>
      </w:pPr>
    </w:p>
    <w:p>
      <w:pPr>
        <w:ind w:left="20"/>
        <w:spacing w:after="0" w:line="171" w:lineRule="exact"/>
        <w:rPr>
          <w:sz w:val="20"/>
          <w:szCs w:val="20"/>
          <w:color w:val="auto"/>
        </w:rPr>
      </w:pP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20"/>
        <w:spacing w:after="0" w:line="171" w:lineRule="exact"/>
        <w:rPr>
          <w:sz w:val="20"/>
          <w:szCs w:val="20"/>
          <w:color w:val="auto"/>
        </w:rPr>
      </w:pP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31"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OR</w:t>
      </w:r>
    </w:p>
    <w:p>
      <w:pPr>
        <w:spacing w:after="0" w:line="109" w:lineRule="exact"/>
        <w:rPr>
          <w:sz w:val="24"/>
          <w:szCs w:val="24"/>
          <w:color w:val="auto"/>
        </w:rPr>
      </w:pPr>
    </w:p>
    <w:p>
      <w:pPr>
        <w:ind w:left="2760" w:right="720" w:hanging="2757"/>
        <w:spacing w:after="0" w:line="396"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Commission file number: 000-50976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2089785</wp:posOffset>
            </wp:positionH>
            <wp:positionV relativeFrom="paragraph">
              <wp:posOffset>26670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940" w:space="380"/>
            <w:col w:w="9940"/>
          </w:cols>
          <w:pgMar w:left="320" w:top="247" w:right="319" w:bottom="1440" w:gutter="0" w:footer="0" w:header="0"/>
          <w:type w:val="continuous"/>
        </w:sectPr>
      </w:pPr>
    </w:p>
    <w:p>
      <w:pPr>
        <w:jc w:val="center"/>
        <w:ind w:right="20"/>
        <w:spacing w:after="0"/>
        <w:rPr>
          <w:sz w:val="20"/>
          <w:szCs w:val="20"/>
          <w:color w:val="auto"/>
        </w:rPr>
      </w:pPr>
      <w:r>
        <w:rPr>
          <w:rFonts w:ascii="Arial" w:cs="Arial" w:eastAsia="Arial" w:hAnsi="Arial"/>
          <w:sz w:val="25"/>
          <w:szCs w:val="25"/>
          <w:b w:val="1"/>
          <w:bCs w:val="1"/>
          <w:color w:val="auto"/>
        </w:rPr>
        <w:t>HURON CONSULTING GROUP INC.</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117475</wp:posOffset>
            </wp:positionV>
            <wp:extent cx="1294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360" w:type="dxa"/>
            <w:vAlign w:val="bottom"/>
          </w:tcPr>
          <w:p>
            <w:pPr>
              <w:spacing w:after="0"/>
              <w:rPr>
                <w:sz w:val="20"/>
                <w:szCs w:val="20"/>
                <w:color w:val="auto"/>
              </w:rPr>
            </w:pPr>
          </w:p>
        </w:tc>
        <w:tc>
          <w:tcPr>
            <w:tcW w:w="3820" w:type="dxa"/>
            <w:vAlign w:val="bottom"/>
          </w:tcPr>
          <w:p>
            <w:pPr>
              <w:jc w:val="center"/>
              <w:ind w:left="561"/>
              <w:spacing w:after="0"/>
              <w:rPr>
                <w:sz w:val="20"/>
                <w:szCs w:val="20"/>
                <w:color w:val="auto"/>
              </w:rPr>
            </w:pPr>
            <w:r>
              <w:rPr>
                <w:rFonts w:ascii="Arial" w:cs="Arial" w:eastAsia="Arial" w:hAnsi="Arial"/>
                <w:sz w:val="18"/>
                <w:szCs w:val="18"/>
                <w:b w:val="1"/>
                <w:bCs w:val="1"/>
                <w:color w:val="auto"/>
                <w:w w:val="98"/>
              </w:rPr>
              <w:t>Delaware</w:t>
            </w:r>
          </w:p>
        </w:tc>
        <w:tc>
          <w:tcPr>
            <w:tcW w:w="4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20" w:type="dxa"/>
            <w:vAlign w:val="bottom"/>
          </w:tcPr>
          <w:p>
            <w:pPr>
              <w:jc w:val="center"/>
              <w:ind w:right="2319"/>
              <w:spacing w:after="0"/>
              <w:rPr>
                <w:sz w:val="20"/>
                <w:szCs w:val="20"/>
                <w:color w:val="auto"/>
              </w:rPr>
            </w:pPr>
            <w:r>
              <w:rPr>
                <w:rFonts w:ascii="Arial" w:cs="Arial" w:eastAsia="Arial" w:hAnsi="Arial"/>
                <w:sz w:val="18"/>
                <w:szCs w:val="18"/>
                <w:b w:val="1"/>
                <w:bCs w:val="1"/>
                <w:color w:val="auto"/>
                <w:w w:val="99"/>
              </w:rPr>
              <w:t>01-0666114</w:t>
            </w:r>
          </w:p>
        </w:tc>
      </w:tr>
      <w:tr>
        <w:trPr>
          <w:trHeight w:val="148"/>
        </w:trPr>
        <w:tc>
          <w:tcPr>
            <w:tcW w:w="360" w:type="dxa"/>
            <w:vAlign w:val="bottom"/>
          </w:tcPr>
          <w:p>
            <w:pPr>
              <w:spacing w:after="0"/>
              <w:rPr>
                <w:sz w:val="12"/>
                <w:szCs w:val="12"/>
                <w:color w:val="auto"/>
              </w:rPr>
            </w:pPr>
          </w:p>
        </w:tc>
        <w:tc>
          <w:tcPr>
            <w:tcW w:w="3820" w:type="dxa"/>
            <w:vAlign w:val="bottom"/>
          </w:tcPr>
          <w:p>
            <w:pPr>
              <w:jc w:val="center"/>
              <w:ind w:left="561"/>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4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120" w:type="dxa"/>
            <w:vAlign w:val="bottom"/>
          </w:tcPr>
          <w:p>
            <w:pPr>
              <w:jc w:val="center"/>
              <w:ind w:right="2339"/>
              <w:spacing w:after="0" w:line="149"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360" w:type="dxa"/>
            <w:vAlign w:val="bottom"/>
          </w:tcPr>
          <w:p>
            <w:pPr>
              <w:spacing w:after="0"/>
              <w:rPr>
                <w:sz w:val="16"/>
                <w:szCs w:val="16"/>
                <w:color w:val="auto"/>
              </w:rPr>
            </w:pPr>
          </w:p>
        </w:tc>
        <w:tc>
          <w:tcPr>
            <w:tcW w:w="3820" w:type="dxa"/>
            <w:vAlign w:val="bottom"/>
          </w:tcPr>
          <w:p>
            <w:pPr>
              <w:jc w:val="center"/>
              <w:ind w:left="561"/>
              <w:spacing w:after="0"/>
              <w:rPr>
                <w:sz w:val="20"/>
                <w:szCs w:val="20"/>
                <w:color w:val="auto"/>
              </w:rPr>
            </w:pPr>
            <w:r>
              <w:rPr>
                <w:rFonts w:ascii="Arial" w:cs="Arial" w:eastAsia="Arial" w:hAnsi="Arial"/>
                <w:sz w:val="14"/>
                <w:szCs w:val="14"/>
                <w:b w:val="1"/>
                <w:bCs w:val="1"/>
                <w:color w:val="auto"/>
              </w:rPr>
              <w:t>incorporation or organization)</w:t>
            </w:r>
          </w:p>
        </w:tc>
        <w:tc>
          <w:tcPr>
            <w:tcW w:w="4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120" w:type="dxa"/>
            <w:vAlign w:val="bottom"/>
          </w:tcPr>
          <w:p>
            <w:pPr>
              <w:jc w:val="center"/>
              <w:ind w:right="2319"/>
              <w:spacing w:after="0"/>
              <w:rPr>
                <w:sz w:val="20"/>
                <w:szCs w:val="20"/>
                <w:color w:val="auto"/>
              </w:rPr>
            </w:pPr>
            <w:r>
              <w:rPr>
                <w:rFonts w:ascii="Arial" w:cs="Arial" w:eastAsia="Arial" w:hAnsi="Arial"/>
                <w:sz w:val="14"/>
                <w:szCs w:val="14"/>
                <w:b w:val="1"/>
                <w:bCs w:val="1"/>
                <w:color w:val="auto"/>
              </w:rPr>
              <w:t>Identification Number)</w:t>
            </w:r>
          </w:p>
        </w:tc>
      </w:tr>
      <w:tr>
        <w:trPr>
          <w:trHeight w:val="273"/>
        </w:trPr>
        <w:tc>
          <w:tcPr>
            <w:tcW w:w="36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29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550 West Van Buren Street</w:t>
            </w:r>
          </w:p>
        </w:tc>
        <w:tc>
          <w:tcPr>
            <w:tcW w:w="4120" w:type="dxa"/>
            <w:vAlign w:val="bottom"/>
          </w:tcPr>
          <w:p>
            <w:pPr>
              <w:spacing w:after="0"/>
              <w:rPr>
                <w:sz w:val="23"/>
                <w:szCs w:val="23"/>
                <w:color w:val="auto"/>
              </w:rPr>
            </w:pPr>
          </w:p>
        </w:tc>
      </w:tr>
      <w:tr>
        <w:trPr>
          <w:trHeight w:val="216"/>
        </w:trPr>
        <w:tc>
          <w:tcPr>
            <w:tcW w:w="3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9"/>
              </w:rPr>
              <w:t>Chicago, Illinois</w:t>
            </w:r>
          </w:p>
        </w:tc>
        <w:tc>
          <w:tcPr>
            <w:tcW w:w="4120" w:type="dxa"/>
            <w:vAlign w:val="bottom"/>
          </w:tcPr>
          <w:p>
            <w:pPr>
              <w:spacing w:after="0"/>
              <w:rPr>
                <w:sz w:val="18"/>
                <w:szCs w:val="18"/>
                <w:color w:val="auto"/>
              </w:rPr>
            </w:pPr>
          </w:p>
        </w:tc>
      </w:tr>
      <w:tr>
        <w:trPr>
          <w:trHeight w:val="226"/>
        </w:trPr>
        <w:tc>
          <w:tcPr>
            <w:tcW w:w="3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460" w:type="dxa"/>
            <w:vAlign w:val="bottom"/>
            <w:gridSpan w:val="2"/>
          </w:tcPr>
          <w:p>
            <w:pPr>
              <w:jc w:val="right"/>
              <w:ind w:right="677"/>
              <w:spacing w:after="0"/>
              <w:rPr>
                <w:sz w:val="20"/>
                <w:szCs w:val="20"/>
                <w:color w:val="auto"/>
              </w:rPr>
            </w:pPr>
            <w:r>
              <w:rPr>
                <w:rFonts w:ascii="Arial" w:cs="Arial" w:eastAsia="Arial" w:hAnsi="Arial"/>
                <w:sz w:val="18"/>
                <w:szCs w:val="18"/>
                <w:b w:val="1"/>
                <w:bCs w:val="1"/>
                <w:color w:val="auto"/>
              </w:rPr>
              <w:t>60607</w:t>
            </w:r>
          </w:p>
        </w:tc>
        <w:tc>
          <w:tcPr>
            <w:tcW w:w="5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162"/>
        </w:trPr>
        <w:tc>
          <w:tcPr>
            <w:tcW w:w="3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(Address of principal executive offices)</w:t>
            </w:r>
          </w:p>
        </w:tc>
        <w:tc>
          <w:tcPr>
            <w:tcW w:w="4120" w:type="dxa"/>
            <w:vAlign w:val="bottom"/>
          </w:tcPr>
          <w:p>
            <w:pPr>
              <w:spacing w:after="0"/>
              <w:rPr>
                <w:sz w:val="14"/>
                <w:szCs w:val="14"/>
                <w:color w:val="auto"/>
              </w:rPr>
            </w:pPr>
          </w:p>
        </w:tc>
      </w:tr>
      <w:tr>
        <w:trPr>
          <w:trHeight w:val="190"/>
        </w:trPr>
        <w:tc>
          <w:tcPr>
            <w:tcW w:w="3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(Zip Code)</w:t>
            </w:r>
          </w:p>
        </w:tc>
        <w:tc>
          <w:tcPr>
            <w:tcW w:w="4120" w:type="dxa"/>
            <w:vAlign w:val="bottom"/>
          </w:tcPr>
          <w:p>
            <w:pPr>
              <w:spacing w:after="0"/>
              <w:rPr>
                <w:sz w:val="16"/>
                <w:szCs w:val="16"/>
                <w:color w:val="auto"/>
              </w:rPr>
            </w:pPr>
          </w:p>
        </w:tc>
      </w:tr>
      <w:tr>
        <w:trPr>
          <w:trHeight w:val="296"/>
        </w:trPr>
        <w:tc>
          <w:tcPr>
            <w:tcW w:w="3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60" w:type="dxa"/>
            <w:vAlign w:val="bottom"/>
            <w:gridSpan w:val="2"/>
          </w:tcPr>
          <w:p>
            <w:pPr>
              <w:jc w:val="right"/>
              <w:ind w:right="317"/>
              <w:spacing w:after="0"/>
              <w:rPr>
                <w:sz w:val="20"/>
                <w:szCs w:val="20"/>
                <w:color w:val="auto"/>
              </w:rPr>
            </w:pPr>
            <w:r>
              <w:rPr>
                <w:rFonts w:ascii="Arial" w:cs="Arial" w:eastAsia="Arial" w:hAnsi="Arial"/>
                <w:sz w:val="18"/>
                <w:szCs w:val="18"/>
                <w:b w:val="1"/>
                <w:bCs w:val="1"/>
                <w:color w:val="auto"/>
              </w:rPr>
              <w:t>(312) 583-8700</w:t>
            </w:r>
          </w:p>
        </w:tc>
        <w:tc>
          <w:tcPr>
            <w:tcW w:w="50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190"/>
        </w:trPr>
        <w:tc>
          <w:tcPr>
            <w:tcW w:w="360" w:type="dxa"/>
            <w:vAlign w:val="bottom"/>
          </w:tcPr>
          <w:p>
            <w:pPr>
              <w:spacing w:after="0"/>
              <w:rPr>
                <w:sz w:val="16"/>
                <w:szCs w:val="16"/>
                <w:color w:val="auto"/>
              </w:rPr>
            </w:pPr>
          </w:p>
        </w:tc>
        <w:tc>
          <w:tcPr>
            <w:tcW w:w="10900" w:type="dxa"/>
            <w:vAlign w:val="bottom"/>
            <w:gridSpan w:val="5"/>
          </w:tcPr>
          <w:p>
            <w:pPr>
              <w:jc w:val="center"/>
              <w:ind w:right="299"/>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160"/>
        </w:trPr>
        <w:tc>
          <w:tcPr>
            <w:tcW w:w="360" w:type="dxa"/>
            <w:vAlign w:val="bottom"/>
          </w:tcPr>
          <w:p>
            <w:pPr>
              <w:spacing w:after="0"/>
              <w:rPr>
                <w:sz w:val="13"/>
                <w:szCs w:val="13"/>
                <w:color w:val="auto"/>
              </w:rPr>
            </w:pPr>
          </w:p>
        </w:tc>
        <w:tc>
          <w:tcPr>
            <w:tcW w:w="4280" w:type="dxa"/>
            <w:vAlign w:val="bottom"/>
            <w:gridSpan w:val="2"/>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4120" w:type="dxa"/>
            <w:vAlign w:val="bottom"/>
          </w:tcPr>
          <w:p>
            <w:pPr>
              <w:spacing w:after="0"/>
              <w:rPr>
                <w:sz w:val="13"/>
                <w:szCs w:val="13"/>
                <w:color w:val="auto"/>
              </w:rPr>
            </w:pPr>
          </w:p>
        </w:tc>
      </w:tr>
      <w:tr>
        <w:trPr>
          <w:trHeight w:val="273"/>
        </w:trPr>
        <w:tc>
          <w:tcPr>
            <w:tcW w:w="7140" w:type="dxa"/>
            <w:vAlign w:val="bottom"/>
            <w:gridSpan w:val="5"/>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4120" w:type="dxa"/>
            <w:vAlign w:val="bottom"/>
          </w:tcPr>
          <w:p>
            <w:pPr>
              <w:spacing w:after="0"/>
              <w:rPr>
                <w:sz w:val="23"/>
                <w:szCs w:val="23"/>
                <w:color w:val="auto"/>
              </w:rPr>
            </w:pPr>
          </w:p>
        </w:tc>
      </w:tr>
      <w:tr>
        <w:trPr>
          <w:trHeight w:val="125"/>
        </w:trPr>
        <w:tc>
          <w:tcPr>
            <w:tcW w:w="360" w:type="dxa"/>
            <w:vAlign w:val="bottom"/>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2"/>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r>
      <w:tr>
        <w:trPr>
          <w:trHeight w:val="210"/>
        </w:trPr>
        <w:tc>
          <w:tcPr>
            <w:tcW w:w="360" w:type="dxa"/>
            <w:vAlign w:val="bottom"/>
            <w:tcBorders>
              <w:right w:val="single" w:sz="8" w:color="auto"/>
            </w:tcBorders>
          </w:tcPr>
          <w:p>
            <w:pPr>
              <w:spacing w:after="0"/>
              <w:rPr>
                <w:sz w:val="18"/>
                <w:szCs w:val="18"/>
                <w:color w:val="auto"/>
              </w:rPr>
            </w:pPr>
          </w:p>
        </w:tc>
        <w:tc>
          <w:tcPr>
            <w:tcW w:w="3820" w:type="dxa"/>
            <w:vAlign w:val="bottom"/>
            <w:tcBorders>
              <w:bottom w:val="single" w:sz="8" w:color="auto"/>
            </w:tcBorders>
          </w:tcPr>
          <w:p>
            <w:pPr>
              <w:jc w:val="center"/>
              <w:ind w:left="361"/>
              <w:spacing w:after="0"/>
              <w:rPr>
                <w:sz w:val="20"/>
                <w:szCs w:val="20"/>
                <w:color w:val="auto"/>
              </w:rPr>
            </w:pPr>
            <w:r>
              <w:rPr>
                <w:rFonts w:ascii="Arial" w:cs="Arial" w:eastAsia="Arial" w:hAnsi="Arial"/>
                <w:sz w:val="17"/>
                <w:szCs w:val="17"/>
                <w:b w:val="1"/>
                <w:bCs w:val="1"/>
                <w:color w:val="auto"/>
                <w:w w:val="99"/>
              </w:rPr>
              <w:t>Title of each class</w:t>
            </w:r>
          </w:p>
        </w:tc>
        <w:tc>
          <w:tcPr>
            <w:tcW w:w="4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b w:val="1"/>
                <w:bCs w:val="1"/>
                <w:color w:val="auto"/>
                <w:w w:val="99"/>
              </w:rPr>
              <w:t>Trading Symbol(s)</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Name of each exchange on which registered</w:t>
            </w:r>
          </w:p>
        </w:tc>
      </w:tr>
      <w:tr>
        <w:trPr>
          <w:trHeight w:val="208"/>
        </w:trPr>
        <w:tc>
          <w:tcPr>
            <w:tcW w:w="360" w:type="dxa"/>
            <w:vAlign w:val="bottom"/>
            <w:tcBorders>
              <w:right w:val="single" w:sz="8" w:color="auto"/>
            </w:tcBorders>
          </w:tcPr>
          <w:p>
            <w:pPr>
              <w:spacing w:after="0"/>
              <w:rPr>
                <w:sz w:val="18"/>
                <w:szCs w:val="18"/>
                <w:color w:val="auto"/>
              </w:rPr>
            </w:pPr>
          </w:p>
        </w:tc>
        <w:tc>
          <w:tcPr>
            <w:tcW w:w="3820" w:type="dxa"/>
            <w:vAlign w:val="bottom"/>
            <w:tcBorders>
              <w:bottom w:val="single" w:sz="8" w:color="auto"/>
            </w:tcBorders>
          </w:tcPr>
          <w:p>
            <w:pPr>
              <w:jc w:val="center"/>
              <w:ind w:left="361"/>
              <w:spacing w:after="0"/>
              <w:rPr>
                <w:sz w:val="20"/>
                <w:szCs w:val="20"/>
                <w:color w:val="auto"/>
              </w:rPr>
            </w:pPr>
            <w:r>
              <w:rPr>
                <w:rFonts w:ascii="Arial" w:cs="Arial" w:eastAsia="Arial" w:hAnsi="Arial"/>
                <w:sz w:val="17"/>
                <w:szCs w:val="17"/>
                <w:color w:val="auto"/>
              </w:rPr>
              <w:t>Common Stock, par value $0.01 per share</w:t>
            </w:r>
          </w:p>
        </w:tc>
        <w:tc>
          <w:tcPr>
            <w:tcW w:w="4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color w:val="auto"/>
                <w:w w:val="97"/>
              </w:rPr>
              <w:t>HURN</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NASDAQ Global Select Market</w:t>
            </w:r>
          </w:p>
        </w:tc>
      </w:tr>
    </w:tbl>
    <w:p>
      <w:pPr>
        <w:spacing w:after="0" w:line="75" w:lineRule="exact"/>
        <w:rPr>
          <w:sz w:val="24"/>
          <w:szCs w:val="24"/>
          <w:color w:val="auto"/>
        </w:rPr>
      </w:pPr>
    </w:p>
    <w:p>
      <w:pPr>
        <w:jc w:val="both"/>
        <w:ind w:right="320"/>
        <w:spacing w:after="0" w:line="21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4" w:lineRule="exact"/>
        <w:rPr>
          <w:sz w:val="24"/>
          <w:szCs w:val="24"/>
          <w:color w:val="auto"/>
        </w:rPr>
      </w:pPr>
    </w:p>
    <w:p>
      <w:pPr>
        <w:ind w:right="100"/>
        <w:spacing w:after="0" w:line="21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4" w:lineRule="exact"/>
        <w:rPr>
          <w:sz w:val="24"/>
          <w:szCs w:val="24"/>
          <w:color w:val="auto"/>
        </w:rPr>
      </w:pPr>
    </w:p>
    <w:p>
      <w:pPr>
        <w:ind w:right="20"/>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23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7"/>
                <w:szCs w:val="17"/>
                <w:color w:val="auto"/>
              </w:rPr>
              <w:t>☒</w:t>
            </w:r>
          </w:p>
        </w:tc>
        <w:tc>
          <w:tcPr>
            <w:tcW w:w="1660" w:type="dxa"/>
            <w:vAlign w:val="bottom"/>
            <w:vMerge w:val="restart"/>
          </w:tcPr>
          <w:p>
            <w:pPr>
              <w:ind w:left="200"/>
              <w:spacing w:after="0"/>
              <w:rPr>
                <w:sz w:val="20"/>
                <w:szCs w:val="20"/>
                <w:color w:val="auto"/>
              </w:rPr>
            </w:pPr>
            <w:r>
              <w:rPr>
                <w:rFonts w:ascii="Arial" w:cs="Arial" w:eastAsia="Arial" w:hAnsi="Arial"/>
                <w:sz w:val="17"/>
                <w:szCs w:val="17"/>
                <w:color w:val="auto"/>
              </w:rPr>
              <w:t>Accelerated Filer</w:t>
            </w:r>
          </w:p>
        </w:tc>
        <w:tc>
          <w:tcPr>
            <w:tcW w:w="2800" w:type="dxa"/>
            <w:vAlign w:val="bottom"/>
            <w:vMerge w:val="restart"/>
          </w:tcPr>
          <w:p>
            <w:pPr>
              <w:ind w:left="1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p>
        </w:tc>
        <w:tc>
          <w:tcPr>
            <w:tcW w:w="1740" w:type="dxa"/>
            <w:vAlign w:val="bottom"/>
          </w:tcPr>
          <w:p>
            <w:pPr>
              <w:jc w:val="center"/>
              <w:spacing w:after="0"/>
              <w:rPr>
                <w:sz w:val="20"/>
                <w:szCs w:val="20"/>
                <w:color w:val="auto"/>
              </w:rPr>
            </w:pPr>
            <w:r>
              <w:rPr>
                <w:rFonts w:ascii="Arial" w:cs="Arial" w:eastAsia="Arial" w:hAnsi="Arial"/>
                <w:sz w:val="17"/>
                <w:szCs w:val="17"/>
                <w:color w:val="auto"/>
              </w:rPr>
              <w:t>Smaller Reporting</w:t>
            </w:r>
          </w:p>
        </w:tc>
        <w:tc>
          <w:tcPr>
            <w:tcW w:w="54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1720" w:type="dxa"/>
            <w:vAlign w:val="bottom"/>
          </w:tcPr>
          <w:p>
            <w:pPr>
              <w:jc w:val="center"/>
              <w:spacing w:after="0"/>
              <w:rPr>
                <w:sz w:val="20"/>
                <w:szCs w:val="20"/>
                <w:color w:val="auto"/>
              </w:rPr>
            </w:pPr>
            <w:r>
              <w:rPr>
                <w:rFonts w:ascii="Arial" w:cs="Arial" w:eastAsia="Arial" w:hAnsi="Arial"/>
                <w:sz w:val="17"/>
                <w:szCs w:val="17"/>
                <w:color w:val="auto"/>
                <w:w w:val="99"/>
              </w:rPr>
              <w:t>Emerging Growth</w:t>
            </w:r>
          </w:p>
        </w:tc>
        <w:tc>
          <w:tcPr>
            <w:tcW w:w="34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05"/>
        </w:trPr>
        <w:tc>
          <w:tcPr>
            <w:tcW w:w="232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2800" w:type="dxa"/>
            <w:vAlign w:val="bottom"/>
            <w:vMerge w:val="continue"/>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98"/>
              </w:rPr>
              <w:t>Company</w:t>
            </w:r>
          </w:p>
        </w:tc>
        <w:tc>
          <w:tcPr>
            <w:tcW w:w="540" w:type="dxa"/>
            <w:vAlign w:val="bottom"/>
            <w:vMerge w:val="continue"/>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8"/>
              </w:rPr>
              <w:t>Company</w:t>
            </w: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jc w:val="both"/>
        <w:ind w:right="10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1340"/>
        <w:spacing w:after="0" w:line="26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w:t>
      </w:r>
    </w:p>
    <w:p>
      <w:pPr>
        <w:spacing w:after="0" w:line="79" w:lineRule="exact"/>
        <w:rPr>
          <w:sz w:val="24"/>
          <w:szCs w:val="24"/>
          <w:color w:val="auto"/>
        </w:rPr>
      </w:pPr>
    </w:p>
    <w:p>
      <w:pPr>
        <w:spacing w:after="0"/>
        <w:rPr>
          <w:sz w:val="20"/>
          <w:szCs w:val="20"/>
          <w:color w:val="auto"/>
        </w:rPr>
      </w:pPr>
      <w:r>
        <w:rPr>
          <w:rFonts w:ascii="Arial" w:cs="Arial" w:eastAsia="Arial" w:hAnsi="Arial"/>
          <w:sz w:val="17"/>
          <w:szCs w:val="17"/>
          <w:color w:val="auto"/>
        </w:rPr>
        <w:t>As of April 27, 2021, 22,577,906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47"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20320</wp:posOffset>
            </wp:positionV>
            <wp:extent cx="6763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338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480" w:type="dxa"/>
            <w:vAlign w:val="bottom"/>
            <w:gridSpan w:val="6"/>
            <w:vMerge w:val="restart"/>
          </w:tcPr>
          <w:p>
            <w:pPr>
              <w:spacing w:after="0"/>
              <w:rPr>
                <w:rFonts w:ascii="Arial" w:cs="Arial" w:eastAsia="Arial" w:hAnsi="Arial"/>
                <w:sz w:val="18"/>
                <w:szCs w:val="18"/>
                <w:b w:val="1"/>
                <w:bCs w:val="1"/>
                <w:color w:val="0000FF"/>
                <w:w w:val="99"/>
              </w:rPr>
            </w:pPr>
            <w:hyperlink w:anchor="page2">
              <w:r>
                <w:rPr>
                  <w:rFonts w:ascii="Arial" w:cs="Arial" w:eastAsia="Arial" w:hAnsi="Arial"/>
                  <w:sz w:val="18"/>
                  <w:szCs w:val="18"/>
                  <w:b w:val="1"/>
                  <w:bCs w:val="1"/>
                  <w:color w:val="0000FF"/>
                  <w:w w:val="99"/>
                </w:rPr>
                <w:t>Part I – Financial Information</w:t>
              </w:r>
            </w:hyperlink>
          </w:p>
        </w:tc>
        <w:tc>
          <w:tcPr>
            <w:tcW w:w="7340" w:type="dxa"/>
            <w:vAlign w:val="bottom"/>
            <w:gridSpan w:val="14"/>
            <w:vMerge w:val="restart"/>
          </w:tcPr>
          <w:p>
            <w:pPr>
              <w:spacing w:after="0"/>
              <w:rPr>
                <w:sz w:val="16"/>
                <w:szCs w:val="16"/>
                <w:color w:val="auto"/>
              </w:rPr>
            </w:pPr>
          </w:p>
        </w:tc>
        <w:tc>
          <w:tcPr>
            <w:tcW w:w="1400" w:type="dxa"/>
            <w:vAlign w:val="bottom"/>
            <w:gridSpan w:val="5"/>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2480" w:type="dxa"/>
            <w:vAlign w:val="bottom"/>
            <w:tcBorders>
              <w:bottom w:val="single" w:sz="8" w:color="0000FF"/>
            </w:tcBorders>
            <w:gridSpan w:val="6"/>
            <w:vMerge w:val="continue"/>
          </w:tcPr>
          <w:p>
            <w:pPr>
              <w:spacing w:after="0"/>
              <w:rPr>
                <w:sz w:val="14"/>
                <w:szCs w:val="14"/>
                <w:color w:val="auto"/>
              </w:rPr>
            </w:pPr>
          </w:p>
        </w:tc>
        <w:tc>
          <w:tcPr>
            <w:tcW w:w="7340" w:type="dxa"/>
            <w:vAlign w:val="bottom"/>
            <w:gridSpan w:val="14"/>
            <w:vMerge w:val="continue"/>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3780" w:type="dxa"/>
            <w:vAlign w:val="bottom"/>
            <w:tcBorders>
              <w:bottom w:val="single" w:sz="8" w:color="0000FF"/>
            </w:tcBorders>
            <w:gridSpan w:val="12"/>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Consolidated Financial Statements (Unaudited)</w:t>
              </w:r>
            </w:hyperlink>
          </w:p>
        </w:tc>
        <w:tc>
          <w:tcPr>
            <w:tcW w:w="4800" w:type="dxa"/>
            <w:vAlign w:val="bottom"/>
            <w:gridSpan w:val="6"/>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58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Balance Sheets</w:t>
              </w:r>
            </w:hyperlink>
          </w:p>
        </w:tc>
        <w:tc>
          <w:tcPr>
            <w:tcW w:w="8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58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Statements of Operations and Other Comprehensive Income</w:t>
              </w:r>
            </w:hyperlink>
          </w:p>
        </w:tc>
        <w:tc>
          <w:tcPr>
            <w:tcW w:w="8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00" w:type="dxa"/>
            <w:vAlign w:val="bottom"/>
            <w:gridSpan w:val="13"/>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Consolidated Statements of Stockholders’ Equity</w:t>
              </w:r>
            </w:hyperlink>
          </w:p>
        </w:tc>
        <w:tc>
          <w:tcPr>
            <w:tcW w:w="2040" w:type="dxa"/>
            <w:vAlign w:val="bottom"/>
            <w:gridSpan w:val="3"/>
          </w:tcPr>
          <w:p>
            <w:pPr>
              <w:spacing w:after="0"/>
              <w:rPr>
                <w:sz w:val="18"/>
                <w:szCs w:val="18"/>
                <w:color w:val="auto"/>
              </w:rPr>
            </w:pPr>
          </w:p>
        </w:tc>
        <w:tc>
          <w:tcPr>
            <w:tcW w:w="2640" w:type="dxa"/>
            <w:vAlign w:val="bottom"/>
            <w:gridSpan w:val="2"/>
          </w:tcPr>
          <w:p>
            <w:pPr>
              <w:spacing w:after="0"/>
              <w:rPr>
                <w:sz w:val="18"/>
                <w:szCs w:val="18"/>
                <w:color w:val="auto"/>
              </w:rPr>
            </w:pPr>
          </w:p>
        </w:tc>
        <w:tc>
          <w:tcPr>
            <w:tcW w:w="700" w:type="dxa"/>
            <w:vAlign w:val="bottom"/>
            <w:gridSpan w:val="2"/>
          </w:tcPr>
          <w:p>
            <w:pPr>
              <w:spacing w:after="0"/>
              <w:rPr>
                <w:sz w:val="18"/>
                <w:szCs w:val="18"/>
                <w:color w:val="auto"/>
              </w:rPr>
            </w:pPr>
          </w:p>
        </w:tc>
        <w:tc>
          <w:tcPr>
            <w:tcW w:w="120" w:type="dxa"/>
            <w:vAlign w:val="bottom"/>
            <w:gridSpan w:val="2"/>
          </w:tcPr>
          <w:p>
            <w:pPr>
              <w:jc w:val="right"/>
              <w:ind w:right="2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00" w:type="dxa"/>
            <w:vAlign w:val="bottom"/>
            <w:gridSpan w:val="1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Cash Flows</w:t>
              </w:r>
            </w:hyperlink>
          </w:p>
        </w:tc>
        <w:tc>
          <w:tcPr>
            <w:tcW w:w="4680" w:type="dxa"/>
            <w:vAlign w:val="bottom"/>
            <w:gridSpan w:val="5"/>
          </w:tcPr>
          <w:p>
            <w:pPr>
              <w:spacing w:after="0"/>
              <w:rPr>
                <w:sz w:val="18"/>
                <w:szCs w:val="18"/>
                <w:color w:val="auto"/>
              </w:rPr>
            </w:pPr>
          </w:p>
        </w:tc>
        <w:tc>
          <w:tcPr>
            <w:tcW w:w="700" w:type="dxa"/>
            <w:vAlign w:val="bottom"/>
            <w:gridSpan w:val="2"/>
          </w:tcPr>
          <w:p>
            <w:pPr>
              <w:spacing w:after="0"/>
              <w:rPr>
                <w:sz w:val="18"/>
                <w:szCs w:val="18"/>
                <w:color w:val="auto"/>
              </w:rPr>
            </w:pPr>
          </w:p>
        </w:tc>
        <w:tc>
          <w:tcPr>
            <w:tcW w:w="120" w:type="dxa"/>
            <w:vAlign w:val="bottom"/>
            <w:gridSpan w:val="2"/>
          </w:tcPr>
          <w:p>
            <w:pPr>
              <w:jc w:val="right"/>
              <w:ind w:right="2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58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Consolidated Financial Statements</w:t>
              </w:r>
            </w:hyperlink>
          </w:p>
        </w:tc>
        <w:tc>
          <w:tcPr>
            <w:tcW w:w="8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8580" w:type="dxa"/>
            <w:vAlign w:val="bottom"/>
            <w:gridSpan w:val="18"/>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82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21</w:t>
              </w:r>
            </w:hyperlink>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720" w:type="dxa"/>
            <w:vAlign w:val="bottom"/>
            <w:gridSpan w:val="14"/>
          </w:tcPr>
          <w:p>
            <w:pPr>
              <w:spacing w:after="0"/>
              <w:rPr>
                <w:rFonts w:ascii="Arial" w:cs="Arial" w:eastAsia="Arial" w:hAnsi="Arial"/>
                <w:sz w:val="18"/>
                <w:szCs w:val="18"/>
                <w:color w:val="0000FF"/>
                <w:w w:val="99"/>
              </w:rPr>
            </w:pPr>
            <w:hyperlink w:anchor="page38">
              <w:r>
                <w:rPr>
                  <w:rFonts w:ascii="Arial" w:cs="Arial" w:eastAsia="Arial" w:hAnsi="Arial"/>
                  <w:sz w:val="18"/>
                  <w:szCs w:val="18"/>
                  <w:color w:val="0000FF"/>
                  <w:w w:val="99"/>
                </w:rPr>
                <w:t>Quantitative and Qualitative Disclosures About Market Risk</w:t>
              </w:r>
            </w:hyperlink>
          </w:p>
        </w:tc>
        <w:tc>
          <w:tcPr>
            <w:tcW w:w="2360" w:type="dxa"/>
            <w:vAlign w:val="bottom"/>
            <w:gridSpan w:val="3"/>
          </w:tcPr>
          <w:p>
            <w:pPr>
              <w:spacing w:after="0"/>
              <w:rPr>
                <w:sz w:val="22"/>
                <w:szCs w:val="22"/>
                <w:color w:val="auto"/>
              </w:rPr>
            </w:pPr>
          </w:p>
        </w:tc>
        <w:tc>
          <w:tcPr>
            <w:tcW w:w="1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1940" w:type="dxa"/>
            <w:vAlign w:val="bottom"/>
            <w:gridSpan w:val="7"/>
          </w:tcPr>
          <w:p>
            <w:pPr>
              <w:spacing w:after="0"/>
              <w:rPr>
                <w:rFonts w:ascii="Arial" w:cs="Arial" w:eastAsia="Arial" w:hAnsi="Arial"/>
                <w:sz w:val="18"/>
                <w:szCs w:val="18"/>
                <w:color w:val="0000FF"/>
                <w:w w:val="95"/>
              </w:rPr>
            </w:pPr>
            <w:hyperlink w:anchor="page39">
              <w:r>
                <w:rPr>
                  <w:rFonts w:ascii="Arial" w:cs="Arial" w:eastAsia="Arial" w:hAnsi="Arial"/>
                  <w:sz w:val="18"/>
                  <w:szCs w:val="18"/>
                  <w:color w:val="0000FF"/>
                  <w:w w:val="95"/>
                </w:rPr>
                <w:t>Controls and Procedures</w:t>
              </w:r>
            </w:hyperlink>
          </w:p>
        </w:tc>
        <w:tc>
          <w:tcPr>
            <w:tcW w:w="2780" w:type="dxa"/>
            <w:vAlign w:val="bottom"/>
            <w:gridSpan w:val="7"/>
          </w:tcPr>
          <w:p>
            <w:pPr>
              <w:spacing w:after="0"/>
              <w:rPr>
                <w:sz w:val="22"/>
                <w:szCs w:val="22"/>
                <w:color w:val="auto"/>
              </w:rPr>
            </w:pPr>
          </w:p>
        </w:tc>
        <w:tc>
          <w:tcPr>
            <w:tcW w:w="3860" w:type="dxa"/>
            <w:vAlign w:val="bottom"/>
            <w:gridSpan w:val="4"/>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37</w:t>
              </w:r>
            </w:hyperlink>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20" w:type="dxa"/>
            <w:vAlign w:val="bottom"/>
            <w:gridSpan w:val="20"/>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Part II – Other Information</w:t>
              </w:r>
            </w:hyperlink>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Legal Proceedings</w:t>
              </w:r>
            </w:hyperlink>
          </w:p>
        </w:tc>
        <w:tc>
          <w:tcPr>
            <w:tcW w:w="7080" w:type="dxa"/>
            <w:vAlign w:val="bottom"/>
            <w:gridSpan w:val="12"/>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37</w:t>
              </w:r>
            </w:hyperlink>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Risk Factors</w:t>
              </w:r>
            </w:hyperlink>
          </w:p>
        </w:tc>
        <w:tc>
          <w:tcPr>
            <w:tcW w:w="7080" w:type="dxa"/>
            <w:vAlign w:val="bottom"/>
            <w:gridSpan w:val="12"/>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37</w:t>
              </w:r>
            </w:hyperlink>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4860" w:type="dxa"/>
            <w:vAlign w:val="bottom"/>
            <w:gridSpan w:val="15"/>
          </w:tcPr>
          <w:p>
            <w:pP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Unregistered Sales of Equity Securities and Use of Proceeds</w:t>
              </w:r>
            </w:hyperlink>
          </w:p>
        </w:tc>
        <w:tc>
          <w:tcPr>
            <w:tcW w:w="3720" w:type="dxa"/>
            <w:vAlign w:val="bottom"/>
            <w:gridSpan w:val="3"/>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37</w:t>
              </w:r>
            </w:hyperlink>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2560" w:type="dxa"/>
            <w:vAlign w:val="bottom"/>
            <w:gridSpan w:val="9"/>
          </w:tcPr>
          <w:p>
            <w:pPr>
              <w:spacing w:after="0"/>
              <w:rPr>
                <w:rFonts w:ascii="Arial" w:cs="Arial" w:eastAsia="Arial" w:hAnsi="Arial"/>
                <w:sz w:val="18"/>
                <w:szCs w:val="18"/>
                <w:color w:val="0000FF"/>
                <w:w w:val="99"/>
              </w:rPr>
            </w:pPr>
            <w:hyperlink w:anchor="page40">
              <w:r>
                <w:rPr>
                  <w:rFonts w:ascii="Arial" w:cs="Arial" w:eastAsia="Arial" w:hAnsi="Arial"/>
                  <w:sz w:val="18"/>
                  <w:szCs w:val="18"/>
                  <w:color w:val="0000FF"/>
                  <w:w w:val="99"/>
                </w:rPr>
                <w:t>Defaults Upon Senior Securities</w:t>
              </w:r>
            </w:hyperlink>
          </w:p>
        </w:tc>
        <w:tc>
          <w:tcPr>
            <w:tcW w:w="2300" w:type="dxa"/>
            <w:vAlign w:val="bottom"/>
            <w:gridSpan w:val="6"/>
          </w:tcPr>
          <w:p>
            <w:pPr>
              <w:spacing w:after="0"/>
              <w:rPr>
                <w:sz w:val="22"/>
                <w:szCs w:val="22"/>
                <w:color w:val="auto"/>
              </w:rPr>
            </w:pPr>
          </w:p>
        </w:tc>
        <w:tc>
          <w:tcPr>
            <w:tcW w:w="3720" w:type="dxa"/>
            <w:vAlign w:val="bottom"/>
            <w:gridSpan w:val="3"/>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1940" w:type="dxa"/>
            <w:vAlign w:val="bottom"/>
            <w:gridSpan w:val="7"/>
          </w:tcPr>
          <w:p>
            <w:pPr>
              <w:spacing w:after="0"/>
              <w:rPr>
                <w:rFonts w:ascii="Arial" w:cs="Arial" w:eastAsia="Arial" w:hAnsi="Arial"/>
                <w:sz w:val="18"/>
                <w:szCs w:val="18"/>
                <w:color w:val="0000FF"/>
                <w:w w:val="98"/>
              </w:rPr>
            </w:pPr>
            <w:hyperlink w:anchor="page40">
              <w:r>
                <w:rPr>
                  <w:rFonts w:ascii="Arial" w:cs="Arial" w:eastAsia="Arial" w:hAnsi="Arial"/>
                  <w:sz w:val="18"/>
                  <w:szCs w:val="18"/>
                  <w:color w:val="0000FF"/>
                  <w:w w:val="98"/>
                </w:rPr>
                <w:t>Mine Safety Disclosures</w:t>
              </w:r>
            </w:hyperlink>
          </w:p>
        </w:tc>
        <w:tc>
          <w:tcPr>
            <w:tcW w:w="620" w:type="dxa"/>
            <w:vAlign w:val="bottom"/>
            <w:gridSpan w:val="2"/>
          </w:tcPr>
          <w:p>
            <w:pPr>
              <w:spacing w:after="0"/>
              <w:rPr>
                <w:sz w:val="22"/>
                <w:szCs w:val="22"/>
                <w:color w:val="auto"/>
              </w:rPr>
            </w:pPr>
          </w:p>
        </w:tc>
        <w:tc>
          <w:tcPr>
            <w:tcW w:w="6020" w:type="dxa"/>
            <w:vAlign w:val="bottom"/>
            <w:gridSpan w:val="9"/>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5.</w:t>
            </w:r>
          </w:p>
        </w:tc>
        <w:tc>
          <w:tcPr>
            <w:tcW w:w="1940" w:type="dxa"/>
            <w:vAlign w:val="bottom"/>
            <w:gridSpan w:val="7"/>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Other Information</w:t>
              </w:r>
            </w:hyperlink>
          </w:p>
        </w:tc>
        <w:tc>
          <w:tcPr>
            <w:tcW w:w="6640" w:type="dxa"/>
            <w:vAlign w:val="bottom"/>
            <w:gridSpan w:val="11"/>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18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rFonts w:ascii="Arial" w:cs="Arial" w:eastAsia="Arial" w:hAnsi="Arial"/>
                <w:sz w:val="18"/>
                <w:szCs w:val="18"/>
                <w:color w:val="0000FF"/>
                <w:w w:val="98"/>
              </w:rPr>
            </w:pPr>
            <w:hyperlink w:anchor="page40">
              <w:r>
                <w:rPr>
                  <w:rFonts w:ascii="Arial" w:cs="Arial" w:eastAsia="Arial" w:hAnsi="Arial"/>
                  <w:sz w:val="18"/>
                  <w:szCs w:val="18"/>
                  <w:color w:val="0000FF"/>
                  <w:w w:val="98"/>
                </w:rPr>
                <w:t>Exhibits</w:t>
              </w:r>
            </w:hyperlink>
          </w:p>
        </w:tc>
        <w:tc>
          <w:tcPr>
            <w:tcW w:w="760" w:type="dxa"/>
            <w:vAlign w:val="bottom"/>
            <w:gridSpan w:val="4"/>
          </w:tcPr>
          <w:p>
            <w:pPr>
              <w:spacing w:after="0"/>
              <w:rPr>
                <w:sz w:val="22"/>
                <w:szCs w:val="22"/>
                <w:color w:val="auto"/>
              </w:rPr>
            </w:pPr>
          </w:p>
        </w:tc>
        <w:tc>
          <w:tcPr>
            <w:tcW w:w="7180" w:type="dxa"/>
            <w:vAlign w:val="bottom"/>
            <w:gridSpan w:val="13"/>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39</w:t>
              </w:r>
            </w:hyperlink>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2"/>
            <w:vMerge w:val="restart"/>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Signature</w:t>
              </w:r>
            </w:hyperlink>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40</w:t>
              </w:r>
            </w:hyperlink>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0"/>
        </w:trPr>
        <w:tc>
          <w:tcPr>
            <w:tcW w:w="2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943"/>
        </w:trPr>
        <w:tc>
          <w:tcPr>
            <w:tcW w:w="1400" w:type="dxa"/>
            <w:vAlign w:val="bottom"/>
            <w:tcBorders>
              <w:top w:val="single" w:sz="8" w:color="0000FF"/>
            </w:tcBorders>
          </w:tcPr>
          <w:p>
            <w:pPr>
              <w:spacing w:after="0"/>
              <w:rPr>
                <w:sz w:val="24"/>
                <w:szCs w:val="24"/>
                <w:color w:val="auto"/>
              </w:rPr>
            </w:pPr>
          </w:p>
        </w:tc>
        <w:tc>
          <w:tcPr>
            <w:tcW w:w="6820" w:type="dxa"/>
            <w:vAlign w:val="bottom"/>
          </w:tcPr>
          <w:p>
            <w:pPr>
              <w:jc w:val="center"/>
              <w:ind w:left="1550"/>
              <w:spacing w:after="0"/>
              <w:rPr>
                <w:sz w:val="20"/>
                <w:szCs w:val="20"/>
                <w:color w:val="auto"/>
              </w:rPr>
            </w:pPr>
            <w:r>
              <w:rPr>
                <w:rFonts w:ascii="Arial" w:cs="Arial" w:eastAsia="Arial" w:hAnsi="Arial"/>
                <w:sz w:val="18"/>
                <w:szCs w:val="18"/>
                <w:b w:val="1"/>
                <w:bCs w:val="1"/>
                <w:color w:val="auto"/>
                <w:w w:val="99"/>
              </w:rPr>
              <w:t>PART I - FINANCIAL INFORMATION</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9"/>
        </w:trPr>
        <w:tc>
          <w:tcPr>
            <w:tcW w:w="1400" w:type="dxa"/>
            <w:vAlign w:val="bottom"/>
          </w:tcPr>
          <w:p>
            <w:pPr>
              <w:spacing w:after="0"/>
              <w:rPr>
                <w:sz w:val="20"/>
                <w:szCs w:val="20"/>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ITEM 1. CONSOLIDATED FINANCIAL STATEMENTS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6"/>
        </w:trPr>
        <w:tc>
          <w:tcPr>
            <w:tcW w:w="1400" w:type="dxa"/>
            <w:vAlign w:val="bottom"/>
          </w:tcPr>
          <w:p>
            <w:pPr>
              <w:spacing w:after="0"/>
              <w:rPr>
                <w:sz w:val="24"/>
                <w:szCs w:val="24"/>
                <w:color w:val="auto"/>
              </w:rPr>
            </w:pPr>
          </w:p>
        </w:tc>
        <w:tc>
          <w:tcPr>
            <w:tcW w:w="6820" w:type="dxa"/>
            <w:vAlign w:val="bottom"/>
          </w:tcPr>
          <w:p>
            <w:pPr>
              <w:ind w:left="3040"/>
              <w:spacing w:after="0"/>
              <w:rPr>
                <w:sz w:val="20"/>
                <w:szCs w:val="20"/>
                <w:color w:val="auto"/>
              </w:rPr>
            </w:pPr>
            <w:r>
              <w:rPr>
                <w:rFonts w:ascii="Arial" w:cs="Arial" w:eastAsia="Arial" w:hAnsi="Arial"/>
                <w:sz w:val="18"/>
                <w:szCs w:val="18"/>
                <w:b w:val="1"/>
                <w:bCs w:val="1"/>
                <w:color w:val="auto"/>
              </w:rPr>
              <w:t>HURON CONSULTING GROUP INC.</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1400" w:type="dxa"/>
            <w:vAlign w:val="bottom"/>
          </w:tcPr>
          <w:p>
            <w:pPr>
              <w:spacing w:after="0"/>
              <w:rPr>
                <w:sz w:val="22"/>
                <w:szCs w:val="22"/>
                <w:color w:val="auto"/>
              </w:rPr>
            </w:pPr>
          </w:p>
        </w:tc>
        <w:tc>
          <w:tcPr>
            <w:tcW w:w="6820" w:type="dxa"/>
            <w:vAlign w:val="bottom"/>
          </w:tcPr>
          <w:p>
            <w:pPr>
              <w:ind w:left="370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97"/>
        </w:trPr>
        <w:tc>
          <w:tcPr>
            <w:tcW w:w="1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4"/>
                <w:szCs w:val="24"/>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9"/>
        </w:trPr>
        <w:tc>
          <w:tcPr>
            <w:tcW w:w="1400" w:type="dxa"/>
            <w:vAlign w:val="bottom"/>
            <w:tcBorders>
              <w:bottom w:val="single" w:sz="8" w:color="CCEEFF"/>
            </w:tcBorders>
          </w:tcPr>
          <w:p>
            <w:pPr>
              <w:spacing w:after="0"/>
              <w:rPr>
                <w:sz w:val="19"/>
                <w:szCs w:val="19"/>
                <w:color w:val="auto"/>
              </w:rPr>
            </w:pPr>
          </w:p>
        </w:tc>
        <w:tc>
          <w:tcPr>
            <w:tcW w:w="68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1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67,177</w:t>
            </w: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Receivables from clients, net of allowances of $8,464 and $7,680, respectively</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87,146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87,687</w:t>
            </w:r>
          </w:p>
        </w:tc>
      </w:tr>
      <w:tr>
        <w:trPr>
          <w:trHeight w:val="229"/>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Unbilled services, net of allowances of $2,969 and $2,603, respectively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53,959</w:t>
            </w: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Income tax receivable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5,121</w:t>
            </w:r>
          </w:p>
        </w:tc>
      </w:tr>
      <w:tr>
        <w:trPr>
          <w:trHeight w:val="229"/>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16,569</w:t>
            </w:r>
          </w:p>
        </w:tc>
      </w:tr>
      <w:tr>
        <w:trPr>
          <w:trHeight w:val="223"/>
        </w:trPr>
        <w:tc>
          <w:tcPr>
            <w:tcW w:w="8220" w:type="dxa"/>
            <w:vAlign w:val="bottom"/>
            <w:gridSpan w:val="2"/>
          </w:tcPr>
          <w:p>
            <w:pPr>
              <w:ind w:left="6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205,216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230,513</w:t>
            </w: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29,093</w:t>
            </w: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4,191</w:t>
            </w: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71,030</w:t>
            </w: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38,207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39,360</w:t>
            </w: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62,068</w:t>
            </w: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21,232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20,483</w:t>
            </w: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597,552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594,237</w:t>
            </w: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1,024,742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1,050,975</w:t>
            </w: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82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29"/>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14,874</w:t>
            </w: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payroll and related benefits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133,830</w:t>
            </w: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maturities of operating lease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8,771</w:t>
            </w:r>
          </w:p>
        </w:tc>
      </w:tr>
      <w:tr>
        <w:trPr>
          <w:trHeight w:val="229"/>
        </w:trPr>
        <w:tc>
          <w:tcPr>
            <w:tcW w:w="82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Deferred revenues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28,247</w:t>
            </w: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186,869</w:t>
            </w: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compensation and other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45,361</w:t>
            </w: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Accrued contingent consideration for business acquisitions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1,770</w:t>
            </w: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202,780</w:t>
            </w:r>
          </w:p>
        </w:tc>
      </w:tr>
      <w:tr>
        <w:trPr>
          <w:trHeight w:val="229"/>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Operating lease liabilities, net of current portion</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59,730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61,825</w:t>
            </w: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income taxes, net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23"/>
        </w:trPr>
        <w:tc>
          <w:tcPr>
            <w:tcW w:w="8220" w:type="dxa"/>
            <w:vAlign w:val="bottom"/>
            <w:gridSpan w:val="2"/>
          </w:tcPr>
          <w:p>
            <w:pPr>
              <w:ind w:left="680"/>
              <w:spacing w:after="0"/>
              <w:rPr>
                <w:sz w:val="20"/>
                <w:szCs w:val="20"/>
                <w:color w:val="auto"/>
              </w:rPr>
            </w:pPr>
            <w:r>
              <w:rPr>
                <w:rFonts w:ascii="Arial" w:cs="Arial" w:eastAsia="Arial" w:hAnsi="Arial"/>
                <w:sz w:val="18"/>
                <w:szCs w:val="18"/>
                <w:color w:val="auto"/>
              </w:rPr>
              <w:t>Total non-current liabilities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373,565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312,164</w:t>
            </w: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88"/>
        </w:trPr>
        <w:tc>
          <w:tcPr>
            <w:tcW w:w="8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Common stock; $0.01 par value; 500,000,000 shares authorized; 25,294,954 and 25,346,916 shares</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17"/>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issued at March 31, 2021 and December 31, 2020, respectively</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188"/>
        </w:trPr>
        <w:tc>
          <w:tcPr>
            <w:tcW w:w="82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Treasury stock, at cost, 2,422,227 and 2,584,119 shares at March 31, 2021 and December 31, 2020,</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7"/>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(134,611)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(129,886)</w:t>
            </w: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454,512</w:t>
            </w: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219,414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214,009</w:t>
            </w: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13,061</w:t>
            </w:r>
          </w:p>
        </w:tc>
      </w:tr>
      <w:tr>
        <w:trPr>
          <w:trHeight w:val="223"/>
        </w:trPr>
        <w:tc>
          <w:tcPr>
            <w:tcW w:w="822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541,003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551,942</w:t>
            </w:r>
          </w:p>
        </w:tc>
      </w:tr>
      <w:tr>
        <w:trPr>
          <w:trHeight w:val="248"/>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1,024,742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1,050,975</w:t>
            </w: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127" w:lineRule="exact"/>
        <w:rPr>
          <w:sz w:val="20"/>
          <w:szCs w:val="20"/>
          <w:color w:val="auto"/>
        </w:rPr>
      </w:pPr>
    </w:p>
    <w:p>
      <w:pPr>
        <w:jc w:val="center"/>
        <w:ind w:left="8460"/>
        <w:spacing w:after="0"/>
        <w:rPr>
          <w:sz w:val="20"/>
          <w:szCs w:val="20"/>
          <w:color w:val="auto"/>
        </w:rPr>
      </w:pPr>
      <w:r>
        <w:rPr>
          <w:rFonts w:ascii="Arial" w:cs="Arial" w:eastAsia="Arial" w:hAnsi="Arial"/>
          <w:sz w:val="17"/>
          <w:szCs w:val="17"/>
          <w:b w:val="1"/>
          <w:bCs w:val="1"/>
          <w:color w:val="auto"/>
        </w:rPr>
        <w:t>Three Months Ended</w:t>
      </w:r>
    </w:p>
    <w:p>
      <w:pPr>
        <w:jc w:val="center"/>
        <w:ind w:left="8460"/>
        <w:spacing w:after="0"/>
        <w:rPr>
          <w:sz w:val="20"/>
          <w:szCs w:val="20"/>
          <w:color w:val="auto"/>
        </w:rPr>
      </w:pPr>
      <w:r>
        <w:rPr>
          <w:rFonts w:ascii="Arial" w:cs="Arial" w:eastAsia="Arial" w:hAnsi="Arial"/>
          <w:sz w:val="17"/>
          <w:szCs w:val="17"/>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r>
      <w:tr>
        <w:trPr>
          <w:trHeight w:val="196"/>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 and reimbursable expenses: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4"/>
        </w:trPr>
        <w:tc>
          <w:tcPr>
            <w:tcW w:w="8480" w:type="dxa"/>
            <w:vAlign w:val="bottom"/>
          </w:tcPr>
          <w:p>
            <w:pPr>
              <w:ind w:left="20"/>
              <w:spacing w:after="0"/>
              <w:rPr>
                <w:sz w:val="20"/>
                <w:szCs w:val="20"/>
                <w:color w:val="auto"/>
              </w:rPr>
            </w:pPr>
            <w:r>
              <w:rPr>
                <w:rFonts w:ascii="Arial" w:cs="Arial" w:eastAsia="Arial" w:hAnsi="Arial"/>
                <w:sz w:val="17"/>
                <w:szCs w:val="17"/>
                <w:color w:val="auto"/>
              </w:rPr>
              <w:t>Revenues</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203,213</w:t>
            </w:r>
          </w:p>
        </w:tc>
        <w:tc>
          <w:tcPr>
            <w:tcW w:w="120" w:type="dxa"/>
            <w:vAlign w:val="bottom"/>
          </w:tcPr>
          <w:p>
            <w:pPr>
              <w:spacing w:after="0"/>
              <w:rPr>
                <w:sz w:val="18"/>
                <w:szCs w:val="18"/>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222,619</w:t>
            </w:r>
          </w:p>
        </w:tc>
      </w:tr>
      <w:tr>
        <w:trPr>
          <w:trHeight w:val="218"/>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Reimbursable expenses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19,303</w:t>
            </w:r>
          </w:p>
        </w:tc>
      </w:tr>
      <w:tr>
        <w:trPr>
          <w:trHeight w:val="208"/>
        </w:trPr>
        <w:tc>
          <w:tcPr>
            <w:tcW w:w="8480" w:type="dxa"/>
            <w:vAlign w:val="bottom"/>
          </w:tcPr>
          <w:p>
            <w:pPr>
              <w:ind w:left="360"/>
              <w:spacing w:after="0" w:line="192" w:lineRule="exact"/>
              <w:rPr>
                <w:sz w:val="20"/>
                <w:szCs w:val="20"/>
                <w:color w:val="auto"/>
              </w:rPr>
            </w:pPr>
            <w:r>
              <w:rPr>
                <w:rFonts w:ascii="Arial" w:cs="Arial" w:eastAsia="Arial" w:hAnsi="Arial"/>
                <w:sz w:val="17"/>
                <w:szCs w:val="17"/>
                <w:color w:val="auto"/>
              </w:rPr>
              <w:t>Total revenues and reimbursable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205,147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241,922</w:t>
            </w:r>
          </w:p>
        </w:tc>
      </w:tr>
      <w:tr>
        <w:trPr>
          <w:trHeight w:val="171"/>
        </w:trPr>
        <w:tc>
          <w:tcPr>
            <w:tcW w:w="848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b w:val="1"/>
                <w:bCs w:val="1"/>
                <w:color w:val="auto"/>
              </w:rPr>
              <w:t xml:space="preserve">Direct costs and reimbursable expenses </w:t>
            </w:r>
            <w:r>
              <w:rPr>
                <w:rFonts w:ascii="Arial" w:cs="Arial" w:eastAsia="Arial" w:hAnsi="Arial"/>
                <w:sz w:val="17"/>
                <w:szCs w:val="17"/>
                <w:color w:val="auto"/>
              </w:rPr>
              <w:t>(exclusive of depreciation and amortization shown in operating</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4"/>
        </w:trPr>
        <w:tc>
          <w:tcPr>
            <w:tcW w:w="8480" w:type="dxa"/>
            <w:vAlign w:val="bottom"/>
          </w:tcPr>
          <w:p>
            <w:pPr>
              <w:ind w:left="20"/>
              <w:spacing w:after="0"/>
              <w:rPr>
                <w:sz w:val="20"/>
                <w:szCs w:val="20"/>
                <w:color w:val="auto"/>
              </w:rPr>
            </w:pPr>
            <w:r>
              <w:rPr>
                <w:rFonts w:ascii="Arial" w:cs="Arial" w:eastAsia="Arial" w:hAnsi="Arial"/>
                <w:sz w:val="17"/>
                <w:szCs w:val="17"/>
                <w:color w:val="auto"/>
              </w:rPr>
              <w:t>Direct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148,115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156,248</w:t>
            </w:r>
          </w:p>
        </w:tc>
      </w:tr>
      <w:tr>
        <w:trPr>
          <w:trHeight w:val="218"/>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 and software development costs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1,301</w:t>
            </w:r>
          </w:p>
        </w:tc>
      </w:tr>
      <w:tr>
        <w:trPr>
          <w:trHeight w:val="214"/>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Reimbursable expenses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19,389</w:t>
            </w:r>
          </w:p>
        </w:tc>
      </w:tr>
      <w:tr>
        <w:trPr>
          <w:trHeight w:val="212"/>
        </w:trPr>
        <w:tc>
          <w:tcPr>
            <w:tcW w:w="8480" w:type="dxa"/>
            <w:vAlign w:val="bottom"/>
            <w:shd w:val="clear" w:color="auto" w:fill="CCEEFF"/>
          </w:tcPr>
          <w:p>
            <w:pPr>
              <w:ind w:left="360"/>
              <w:spacing w:after="0" w:line="194" w:lineRule="exact"/>
              <w:rPr>
                <w:sz w:val="20"/>
                <w:szCs w:val="20"/>
                <w:color w:val="auto"/>
              </w:rPr>
            </w:pPr>
            <w:r>
              <w:rPr>
                <w:rFonts w:ascii="Arial" w:cs="Arial" w:eastAsia="Arial" w:hAnsi="Arial"/>
                <w:sz w:val="17"/>
                <w:szCs w:val="17"/>
                <w:color w:val="auto"/>
              </w:rPr>
              <w:t>Total direct costs and reimbursable expenses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151,043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176,938</w:t>
            </w:r>
          </w:p>
        </w:tc>
      </w:tr>
      <w:tr>
        <w:trPr>
          <w:trHeight w:val="196"/>
        </w:trPr>
        <w:tc>
          <w:tcPr>
            <w:tcW w:w="8480" w:type="dxa"/>
            <w:vAlign w:val="bottom"/>
          </w:tcPr>
          <w:p>
            <w:pPr>
              <w:ind w:left="20"/>
              <w:spacing w:after="0"/>
              <w:rPr>
                <w:sz w:val="20"/>
                <w:szCs w:val="20"/>
                <w:color w:val="auto"/>
              </w:rPr>
            </w:pPr>
            <w:r>
              <w:rPr>
                <w:rFonts w:ascii="Arial" w:cs="Arial" w:eastAsia="Arial" w:hAnsi="Arial"/>
                <w:sz w:val="17"/>
                <w:szCs w:val="17"/>
                <w:b w:val="1"/>
                <w:bCs w:val="1"/>
                <w:color w:val="auto"/>
              </w:rPr>
              <w:t>Operating expenses and other losses (gains), net</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43,446</w:t>
            </w:r>
          </w:p>
        </w:tc>
      </w:tr>
      <w:tr>
        <w:trPr>
          <w:trHeight w:val="214"/>
        </w:trPr>
        <w:tc>
          <w:tcPr>
            <w:tcW w:w="8480" w:type="dxa"/>
            <w:vAlign w:val="bottom"/>
          </w:tcPr>
          <w:p>
            <w:pPr>
              <w:ind w:left="20"/>
              <w:spacing w:after="0"/>
              <w:rPr>
                <w:sz w:val="20"/>
                <w:szCs w:val="20"/>
                <w:color w:val="auto"/>
              </w:rPr>
            </w:pPr>
            <w:r>
              <w:rPr>
                <w:rFonts w:ascii="Arial" w:cs="Arial" w:eastAsia="Arial" w:hAnsi="Arial"/>
                <w:sz w:val="17"/>
                <w:szCs w:val="17"/>
                <w:color w:val="auto"/>
              </w:rPr>
              <w:t>Restructuring charges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1,609</w:t>
            </w:r>
          </w:p>
        </w:tc>
      </w:tr>
      <w:tr>
        <w:trPr>
          <w:trHeight w:val="218"/>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Litigation and other losses (gains)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r>
      <w:tr>
        <w:trPr>
          <w:trHeight w:val="214"/>
        </w:trPr>
        <w:tc>
          <w:tcPr>
            <w:tcW w:w="848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6,114</w:t>
            </w:r>
          </w:p>
        </w:tc>
      </w:tr>
      <w:tr>
        <w:trPr>
          <w:trHeight w:val="218"/>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impairment charges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59,816</w:t>
            </w:r>
          </w:p>
        </w:tc>
      </w:tr>
      <w:tr>
        <w:trPr>
          <w:trHeight w:val="207"/>
        </w:trPr>
        <w:tc>
          <w:tcPr>
            <w:tcW w:w="8480" w:type="dxa"/>
            <w:vAlign w:val="bottom"/>
            <w:tcBorders>
              <w:bottom w:val="single" w:sz="8" w:color="CCEEFF"/>
            </w:tcBorders>
          </w:tcPr>
          <w:p>
            <w:pPr>
              <w:ind w:left="360"/>
              <w:spacing w:after="0" w:line="192" w:lineRule="exact"/>
              <w:rPr>
                <w:sz w:val="20"/>
                <w:szCs w:val="20"/>
                <w:color w:val="auto"/>
              </w:rPr>
            </w:pPr>
            <w:r>
              <w:rPr>
                <w:rFonts w:ascii="Arial" w:cs="Arial" w:eastAsia="Arial" w:hAnsi="Arial"/>
                <w:sz w:val="17"/>
                <w:szCs w:val="17"/>
                <w:color w:val="auto"/>
              </w:rPr>
              <w:t>Total operating expenses and other losses (gains), net</w:t>
            </w: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45,864</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110,835</w:t>
            </w:r>
          </w:p>
        </w:tc>
      </w:tr>
      <w:tr>
        <w:trPr>
          <w:trHeight w:val="212"/>
        </w:trPr>
        <w:tc>
          <w:tcPr>
            <w:tcW w:w="84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Operating income (loss)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(45,851)</w:t>
            </w:r>
          </w:p>
        </w:tc>
      </w:tr>
      <w:tr>
        <w:trPr>
          <w:trHeight w:val="216"/>
        </w:trPr>
        <w:tc>
          <w:tcPr>
            <w:tcW w:w="8480" w:type="dxa"/>
            <w:vAlign w:val="bottom"/>
          </w:tcPr>
          <w:p>
            <w:pPr>
              <w:ind w:left="20"/>
              <w:spacing w:after="0"/>
              <w:rPr>
                <w:sz w:val="20"/>
                <w:szCs w:val="20"/>
                <w:color w:val="auto"/>
              </w:rPr>
            </w:pPr>
            <w:r>
              <w:rPr>
                <w:rFonts w:ascii="Arial" w:cs="Arial" w:eastAsia="Arial" w:hAnsi="Arial"/>
                <w:sz w:val="17"/>
                <w:szCs w:val="17"/>
                <w:b w:val="1"/>
                <w:bCs w:val="1"/>
                <w:color w:val="auto"/>
              </w:rPr>
              <w:t>Other income (expense), net:</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 of interest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(2,341)</w:t>
            </w:r>
          </w:p>
        </w:tc>
      </w:tr>
      <w:tr>
        <w:trPr>
          <w:trHeight w:val="214"/>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(expense), net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(5,296)</w:t>
            </w:r>
          </w:p>
        </w:tc>
      </w:tr>
      <w:tr>
        <w:trPr>
          <w:trHeight w:val="211"/>
        </w:trPr>
        <w:tc>
          <w:tcPr>
            <w:tcW w:w="8480" w:type="dxa"/>
            <w:vAlign w:val="bottom"/>
            <w:shd w:val="clear" w:color="auto" w:fill="CCEEFF"/>
          </w:tcPr>
          <w:p>
            <w:pPr>
              <w:ind w:left="360"/>
              <w:spacing w:after="0" w:line="194" w:lineRule="exact"/>
              <w:rPr>
                <w:sz w:val="20"/>
                <w:szCs w:val="20"/>
                <w:color w:val="auto"/>
              </w:rPr>
            </w:pPr>
            <w:r>
              <w:rPr>
                <w:rFonts w:ascii="Arial" w:cs="Arial" w:eastAsia="Arial" w:hAnsi="Arial"/>
                <w:sz w:val="17"/>
                <w:szCs w:val="17"/>
                <w:color w:val="auto"/>
              </w:rPr>
              <w:t>Total other expense, net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(7,637)</w:t>
            </w:r>
          </w:p>
        </w:tc>
      </w:tr>
      <w:tr>
        <w:trPr>
          <w:trHeight w:val="208"/>
        </w:trPr>
        <w:tc>
          <w:tcPr>
            <w:tcW w:w="8480" w:type="dxa"/>
            <w:vAlign w:val="bottom"/>
          </w:tcPr>
          <w:p>
            <w:pPr>
              <w:ind w:left="20"/>
              <w:spacing w:after="0" w:line="192" w:lineRule="exact"/>
              <w:rPr>
                <w:sz w:val="20"/>
                <w:szCs w:val="20"/>
                <w:color w:val="auto"/>
              </w:rPr>
            </w:pPr>
            <w:r>
              <w:rPr>
                <w:rFonts w:ascii="Arial" w:cs="Arial" w:eastAsia="Arial" w:hAnsi="Arial"/>
                <w:sz w:val="17"/>
                <w:szCs w:val="17"/>
                <w:color w:val="auto"/>
              </w:rPr>
              <w:t>Income (loss) from continuing operations before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6,941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(53,488)</w:t>
            </w:r>
          </w:p>
        </w:tc>
      </w:tr>
      <w:tr>
        <w:trPr>
          <w:trHeight w:val="218"/>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 (benefit)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(11,215)</w:t>
            </w:r>
          </w:p>
        </w:tc>
      </w:tr>
      <w:tr>
        <w:trPr>
          <w:trHeight w:val="208"/>
        </w:trPr>
        <w:tc>
          <w:tcPr>
            <w:tcW w:w="8480" w:type="dxa"/>
            <w:vAlign w:val="bottom"/>
          </w:tcPr>
          <w:p>
            <w:pPr>
              <w:ind w:left="20"/>
              <w:spacing w:after="0" w:line="192" w:lineRule="exact"/>
              <w:rPr>
                <w:sz w:val="20"/>
                <w:szCs w:val="20"/>
                <w:color w:val="auto"/>
              </w:rPr>
            </w:pPr>
            <w:r>
              <w:rPr>
                <w:rFonts w:ascii="Arial" w:cs="Arial" w:eastAsia="Arial" w:hAnsi="Arial"/>
                <w:sz w:val="17"/>
                <w:szCs w:val="17"/>
                <w:color w:val="auto"/>
              </w:rPr>
              <w:t>Net income (loss) from continuing operations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(42,273)</w:t>
            </w:r>
          </w:p>
        </w:tc>
      </w:tr>
      <w:tr>
        <w:trPr>
          <w:trHeight w:val="218"/>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discontinued operations, net of tax</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08"/>
        </w:trPr>
        <w:tc>
          <w:tcPr>
            <w:tcW w:w="8480" w:type="dxa"/>
            <w:vAlign w:val="bottom"/>
          </w:tcPr>
          <w:p>
            <w:pPr>
              <w:ind w:left="20"/>
              <w:spacing w:after="0" w:line="192" w:lineRule="exact"/>
              <w:rPr>
                <w:sz w:val="20"/>
                <w:szCs w:val="20"/>
                <w:color w:val="auto"/>
              </w:rPr>
            </w:pPr>
            <w:r>
              <w:rPr>
                <w:rFonts w:ascii="Arial" w:cs="Arial" w:eastAsia="Arial" w:hAnsi="Arial"/>
                <w:sz w:val="17"/>
                <w:szCs w:val="17"/>
                <w:color w:val="auto"/>
              </w:rPr>
              <w:t>Net income (loss)</w:t>
            </w: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5,405</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(42,308)</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5"/>
        </w:trPr>
        <w:tc>
          <w:tcPr>
            <w:tcW w:w="848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Net earnings (loss) per basic share: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4"/>
        </w:trPr>
        <w:tc>
          <w:tcPr>
            <w:tcW w:w="8480" w:type="dxa"/>
            <w:vAlign w:val="bottom"/>
          </w:tcPr>
          <w:p>
            <w:pPr>
              <w:ind w:left="360"/>
              <w:spacing w:after="0"/>
              <w:rPr>
                <w:sz w:val="20"/>
                <w:szCs w:val="20"/>
                <w:color w:val="auto"/>
              </w:rPr>
            </w:pPr>
            <w:r>
              <w:rPr>
                <w:rFonts w:ascii="Arial" w:cs="Arial" w:eastAsia="Arial" w:hAnsi="Arial"/>
                <w:sz w:val="17"/>
                <w:szCs w:val="17"/>
                <w:color w:val="auto"/>
              </w:rPr>
              <w:t>Net income (loss) from continuing operations</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0.25</w:t>
            </w:r>
          </w:p>
        </w:tc>
        <w:tc>
          <w:tcPr>
            <w:tcW w:w="120" w:type="dxa"/>
            <w:vAlign w:val="bottom"/>
          </w:tcPr>
          <w:p>
            <w:pPr>
              <w:spacing w:after="0"/>
              <w:rPr>
                <w:sz w:val="18"/>
                <w:szCs w:val="18"/>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(1.94)</w:t>
            </w:r>
          </w:p>
        </w:tc>
      </w:tr>
      <w:tr>
        <w:trPr>
          <w:trHeight w:val="218"/>
        </w:trPr>
        <w:tc>
          <w:tcPr>
            <w:tcW w:w="8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Loss from discontinued operations, net of tax</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8"/>
        </w:trPr>
        <w:tc>
          <w:tcPr>
            <w:tcW w:w="8480" w:type="dxa"/>
            <w:vAlign w:val="bottom"/>
          </w:tcPr>
          <w:p>
            <w:pPr>
              <w:ind w:left="360"/>
              <w:spacing w:after="0" w:line="192" w:lineRule="exact"/>
              <w:rPr>
                <w:sz w:val="20"/>
                <w:szCs w:val="20"/>
                <w:color w:val="auto"/>
              </w:rPr>
            </w:pPr>
            <w:r>
              <w:rPr>
                <w:rFonts w:ascii="Arial" w:cs="Arial" w:eastAsia="Arial" w:hAnsi="Arial"/>
                <w:sz w:val="17"/>
                <w:szCs w:val="17"/>
                <w:color w:val="auto"/>
              </w:rPr>
              <w:t>Net income (loss)</w:t>
            </w: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0.25</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5"/>
        </w:trPr>
        <w:tc>
          <w:tcPr>
            <w:tcW w:w="848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Net earnings (loss) per diluted share: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4"/>
        </w:trPr>
        <w:tc>
          <w:tcPr>
            <w:tcW w:w="8480" w:type="dxa"/>
            <w:vAlign w:val="bottom"/>
          </w:tcPr>
          <w:p>
            <w:pPr>
              <w:ind w:left="360"/>
              <w:spacing w:after="0"/>
              <w:rPr>
                <w:sz w:val="20"/>
                <w:szCs w:val="20"/>
                <w:color w:val="auto"/>
              </w:rPr>
            </w:pPr>
            <w:r>
              <w:rPr>
                <w:rFonts w:ascii="Arial" w:cs="Arial" w:eastAsia="Arial" w:hAnsi="Arial"/>
                <w:sz w:val="17"/>
                <w:szCs w:val="17"/>
                <w:color w:val="auto"/>
              </w:rPr>
              <w:t>Net income (loss) from continuing operations</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0.24</w:t>
            </w:r>
          </w:p>
        </w:tc>
        <w:tc>
          <w:tcPr>
            <w:tcW w:w="120" w:type="dxa"/>
            <w:vAlign w:val="bottom"/>
          </w:tcPr>
          <w:p>
            <w:pPr>
              <w:spacing w:after="0"/>
              <w:rPr>
                <w:sz w:val="18"/>
                <w:szCs w:val="18"/>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(1.94)</w:t>
            </w:r>
          </w:p>
        </w:tc>
      </w:tr>
      <w:tr>
        <w:trPr>
          <w:trHeight w:val="218"/>
        </w:trPr>
        <w:tc>
          <w:tcPr>
            <w:tcW w:w="8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Loss from discontinued operations, net of tax</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8480" w:type="dxa"/>
            <w:vAlign w:val="bottom"/>
          </w:tcPr>
          <w:p>
            <w:pPr>
              <w:ind w:left="360"/>
              <w:spacing w:after="0" w:line="192" w:lineRule="exact"/>
              <w:rPr>
                <w:sz w:val="20"/>
                <w:szCs w:val="20"/>
                <w:color w:val="auto"/>
              </w:rPr>
            </w:pPr>
            <w:r>
              <w:rPr>
                <w:rFonts w:ascii="Arial" w:cs="Arial" w:eastAsia="Arial" w:hAnsi="Arial"/>
                <w:sz w:val="17"/>
                <w:szCs w:val="17"/>
                <w:color w:val="auto"/>
              </w:rPr>
              <w:t>Net income (loss)</w:t>
            </w: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0.24</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5"/>
        </w:trPr>
        <w:tc>
          <w:tcPr>
            <w:tcW w:w="848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Weighted average shares used in calculating earnings (loss) per share: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4"/>
        </w:trPr>
        <w:tc>
          <w:tcPr>
            <w:tcW w:w="8480" w:type="dxa"/>
            <w:vAlign w:val="bottom"/>
          </w:tcPr>
          <w:p>
            <w:pPr>
              <w:ind w:left="360"/>
              <w:spacing w:after="0"/>
              <w:rPr>
                <w:sz w:val="20"/>
                <w:szCs w:val="20"/>
                <w:color w:val="auto"/>
              </w:rPr>
            </w:pPr>
            <w:r>
              <w:rPr>
                <w:rFonts w:ascii="Arial" w:cs="Arial" w:eastAsia="Arial" w:hAnsi="Arial"/>
                <w:sz w:val="17"/>
                <w:szCs w:val="17"/>
                <w:color w:val="auto"/>
              </w:rPr>
              <w:t>Basic</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21,932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21,827</w:t>
            </w:r>
          </w:p>
        </w:tc>
      </w:tr>
      <w:tr>
        <w:trPr>
          <w:trHeight w:val="218"/>
        </w:trPr>
        <w:tc>
          <w:tcPr>
            <w:tcW w:w="8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Diluted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21,827</w:t>
            </w:r>
          </w:p>
        </w:tc>
      </w:tr>
      <w:tr>
        <w:trPr>
          <w:trHeight w:val="216"/>
        </w:trPr>
        <w:tc>
          <w:tcPr>
            <w:tcW w:w="8480" w:type="dxa"/>
            <w:vAlign w:val="bottom"/>
          </w:tcPr>
          <w:p>
            <w:pPr>
              <w:ind w:left="20"/>
              <w:spacing w:after="0"/>
              <w:rPr>
                <w:sz w:val="20"/>
                <w:szCs w:val="20"/>
                <w:color w:val="auto"/>
              </w:rPr>
            </w:pPr>
            <w:r>
              <w:rPr>
                <w:rFonts w:ascii="Arial" w:cs="Arial" w:eastAsia="Arial" w:hAnsi="Arial"/>
                <w:sz w:val="17"/>
                <w:szCs w:val="17"/>
                <w:b w:val="1"/>
                <w:bCs w:val="1"/>
                <w:color w:val="auto"/>
              </w:rPr>
              <w:t>Comprehensive income (loss):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(42,308)</w:t>
            </w:r>
          </w:p>
        </w:tc>
      </w:tr>
      <w:tr>
        <w:trPr>
          <w:trHeight w:val="214"/>
        </w:trPr>
        <w:tc>
          <w:tcPr>
            <w:tcW w:w="8480" w:type="dxa"/>
            <w:vAlign w:val="bottom"/>
          </w:tcPr>
          <w:p>
            <w:pPr>
              <w:ind w:left="20"/>
              <w:spacing w:after="0"/>
              <w:rPr>
                <w:sz w:val="20"/>
                <w:szCs w:val="20"/>
                <w:color w:val="auto"/>
              </w:rPr>
            </w:pPr>
            <w:r>
              <w:rPr>
                <w:rFonts w:ascii="Arial" w:cs="Arial" w:eastAsia="Arial" w:hAnsi="Arial"/>
                <w:sz w:val="17"/>
                <w:szCs w:val="17"/>
                <w:color w:val="auto"/>
              </w:rPr>
              <w:t>Foreign currency translation adjustments, net of tax</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(779)</w:t>
            </w:r>
          </w:p>
        </w:tc>
      </w:tr>
      <w:tr>
        <w:trPr>
          <w:trHeight w:val="218"/>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loss on investment, net of tax</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r>
      <w:tr>
        <w:trPr>
          <w:trHeight w:val="214"/>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Unrealized gain (loss) on cash flow hedging instruments, net of tax</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(1,685)</w:t>
            </w:r>
          </w:p>
        </w:tc>
      </w:tr>
      <w:tr>
        <w:trPr>
          <w:trHeight w:val="211"/>
        </w:trPr>
        <w:tc>
          <w:tcPr>
            <w:tcW w:w="84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Other comprehensive loss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(2,722)</w:t>
            </w:r>
          </w:p>
        </w:tc>
      </w:tr>
      <w:tr>
        <w:trPr>
          <w:trHeight w:val="208"/>
        </w:trPr>
        <w:tc>
          <w:tcPr>
            <w:tcW w:w="8480" w:type="dxa"/>
            <w:vAlign w:val="bottom"/>
          </w:tcPr>
          <w:p>
            <w:pPr>
              <w:ind w:left="20"/>
              <w:spacing w:after="0" w:line="192" w:lineRule="exact"/>
              <w:rPr>
                <w:sz w:val="20"/>
                <w:szCs w:val="20"/>
                <w:color w:val="auto"/>
              </w:rPr>
            </w:pPr>
            <w:r>
              <w:rPr>
                <w:rFonts w:ascii="Arial" w:cs="Arial" w:eastAsia="Arial" w:hAnsi="Arial"/>
                <w:sz w:val="17"/>
                <w:szCs w:val="17"/>
                <w:color w:val="auto"/>
              </w:rPr>
              <w:t>Comprehensive income (loss)</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(45,030)</w:t>
            </w:r>
          </w:p>
        </w:tc>
      </w:tr>
      <w:tr>
        <w:trPr>
          <w:trHeight w:val="22"/>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rPr>
              <w:t>Three Months Ended March 31, 2021</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960" w:type="dxa"/>
            <w:vAlign w:val="bottom"/>
            <w:gridSpan w:val="4"/>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2"/>
                <w:szCs w:val="12"/>
                <w:color w:val="auto"/>
              </w:rPr>
            </w:pPr>
          </w:p>
        </w:tc>
        <w:tc>
          <w:tcPr>
            <w:tcW w:w="196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vMerge w:val="restart"/>
          </w:tcPr>
          <w:p>
            <w:pPr>
              <w:spacing w:after="0"/>
              <w:rPr>
                <w:sz w:val="12"/>
                <w:szCs w:val="12"/>
                <w:color w:val="auto"/>
              </w:rPr>
            </w:pPr>
          </w:p>
        </w:tc>
        <w:tc>
          <w:tcPr>
            <w:tcW w:w="104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Accumulated Other</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320" w:type="dxa"/>
            <w:vAlign w:val="bottom"/>
          </w:tcPr>
          <w:p>
            <w:pPr>
              <w:spacing w:after="0"/>
              <w:rPr>
                <w:sz w:val="8"/>
                <w:szCs w:val="8"/>
                <w:color w:val="auto"/>
              </w:rPr>
            </w:pPr>
          </w:p>
        </w:tc>
        <w:tc>
          <w:tcPr>
            <w:tcW w:w="19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9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8"/>
                <w:szCs w:val="8"/>
                <w:color w:val="auto"/>
              </w:rPr>
            </w:pP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8"/>
                <w:szCs w:val="8"/>
                <w:color w:val="auto"/>
              </w:rPr>
            </w:pPr>
          </w:p>
        </w:tc>
        <w:tc>
          <w:tcPr>
            <w:tcW w:w="13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line="20" w:lineRule="exact"/>
              <w:rPr>
                <w:sz w:val="1"/>
                <w:szCs w:val="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line="20" w:lineRule="exact"/>
              <w:rPr>
                <w:sz w:val="1"/>
                <w:szCs w:val="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5"/>
                <w:szCs w:val="15"/>
                <w:color w:val="auto"/>
              </w:rPr>
            </w:pPr>
          </w:p>
        </w:tc>
        <w:tc>
          <w:tcPr>
            <w:tcW w:w="90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24,560,855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(2,812,896)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(129,886)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454,512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214,009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13,061</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551,942</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2,586</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in</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360"/>
              <w:spacing w:after="0" w:line="153" w:lineRule="exact"/>
              <w:rPr>
                <w:sz w:val="20"/>
                <w:szCs w:val="20"/>
                <w:color w:val="auto"/>
              </w:rPr>
            </w:pPr>
            <w:r>
              <w:rPr>
                <w:rFonts w:ascii="Arial" w:cs="Arial" w:eastAsia="Arial" w:hAnsi="Arial"/>
                <w:sz w:val="14"/>
                <w:szCs w:val="14"/>
                <w:color w:val="auto"/>
              </w:rPr>
              <w:t>Restricted stock awards, net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376,731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90,100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3,778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(3,782)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tcPr>
          <w:p>
            <w:pPr>
              <w:ind w:left="360"/>
              <w:spacing w:after="0"/>
              <w:rPr>
                <w:sz w:val="20"/>
                <w:szCs w:val="20"/>
                <w:color w:val="auto"/>
              </w:rPr>
            </w:pPr>
            <w:r>
              <w:rPr>
                <w:rFonts w:ascii="Arial" w:cs="Arial" w:eastAsia="Arial" w:hAnsi="Arial"/>
                <w:sz w:val="14"/>
                <w:szCs w:val="14"/>
                <w:color w:val="auto"/>
              </w:rPr>
              <w:t>of cancellations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7,988</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redeemed for employee tax</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(165,203)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(8,503)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(8,503)</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 repurchases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(245,718)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(13,181)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(13,184)</w:t>
            </w:r>
          </w:p>
        </w:tc>
        <w:tc>
          <w:tcPr>
            <w:tcW w:w="0" w:type="dxa"/>
            <w:vAlign w:val="bottom"/>
          </w:tcPr>
          <w:p>
            <w:pPr>
              <w:spacing w:after="0"/>
              <w:rPr>
                <w:sz w:val="1"/>
                <w:szCs w:val="1"/>
                <w:color w:val="auto"/>
              </w:rPr>
            </w:pPr>
          </w:p>
        </w:tc>
      </w:tr>
      <w:tr>
        <w:trPr>
          <w:trHeight w:val="20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24,698,499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(2,887,999)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(134,611)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445,711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219,414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541,003</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32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rPr>
              <w:t>Three Months Ended March 31, 2020</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960" w:type="dxa"/>
            <w:vAlign w:val="bottom"/>
            <w:gridSpan w:val="4"/>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2"/>
                <w:szCs w:val="12"/>
                <w:color w:val="auto"/>
              </w:rPr>
            </w:pPr>
          </w:p>
        </w:tc>
        <w:tc>
          <w:tcPr>
            <w:tcW w:w="196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vMerge w:val="restart"/>
          </w:tcPr>
          <w:p>
            <w:pPr>
              <w:spacing w:after="0"/>
              <w:rPr>
                <w:sz w:val="12"/>
                <w:szCs w:val="12"/>
                <w:color w:val="auto"/>
              </w:rPr>
            </w:pPr>
          </w:p>
        </w:tc>
        <w:tc>
          <w:tcPr>
            <w:tcW w:w="104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Accumulated Other</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320" w:type="dxa"/>
            <w:vAlign w:val="bottom"/>
          </w:tcPr>
          <w:p>
            <w:pPr>
              <w:spacing w:after="0"/>
              <w:rPr>
                <w:sz w:val="8"/>
                <w:szCs w:val="8"/>
                <w:color w:val="auto"/>
              </w:rPr>
            </w:pPr>
          </w:p>
        </w:tc>
        <w:tc>
          <w:tcPr>
            <w:tcW w:w="19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9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8"/>
                <w:szCs w:val="8"/>
                <w:color w:val="auto"/>
              </w:rPr>
            </w:pP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8"/>
                <w:szCs w:val="8"/>
                <w:color w:val="auto"/>
              </w:rPr>
            </w:pPr>
          </w:p>
        </w:tc>
        <w:tc>
          <w:tcPr>
            <w:tcW w:w="13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line="20" w:lineRule="exact"/>
              <w:rPr>
                <w:sz w:val="1"/>
                <w:szCs w:val="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line="20" w:lineRule="exact"/>
              <w:rPr>
                <w:sz w:val="1"/>
                <w:szCs w:val="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5"/>
                <w:szCs w:val="15"/>
                <w:color w:val="auto"/>
              </w:rPr>
            </w:pPr>
          </w:p>
        </w:tc>
        <w:tc>
          <w:tcPr>
            <w:tcW w:w="90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24,603,308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(2,763,302)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(128,348)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460,781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237,849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14,936</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585,465</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(42,308)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(45,030)</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in</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360"/>
              <w:spacing w:after="0" w:line="153" w:lineRule="exact"/>
              <w:rPr>
                <w:sz w:val="20"/>
                <w:szCs w:val="20"/>
                <w:color w:val="auto"/>
              </w:rPr>
            </w:pPr>
            <w:r>
              <w:rPr>
                <w:rFonts w:ascii="Arial" w:cs="Arial" w:eastAsia="Arial" w:hAnsi="Arial"/>
                <w:sz w:val="14"/>
                <w:szCs w:val="14"/>
                <w:color w:val="auto"/>
              </w:rPr>
              <w:t>Restricted stock awards, net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250,544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102,467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7,115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(7,117)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tcPr>
          <w:p>
            <w:pPr>
              <w:ind w:left="360"/>
              <w:spacing w:after="0"/>
              <w:rPr>
                <w:sz w:val="20"/>
                <w:szCs w:val="20"/>
                <w:color w:val="auto"/>
              </w:rPr>
            </w:pPr>
            <w:r>
              <w:rPr>
                <w:rFonts w:ascii="Arial" w:cs="Arial" w:eastAsia="Arial" w:hAnsi="Arial"/>
                <w:sz w:val="14"/>
                <w:szCs w:val="14"/>
                <w:color w:val="auto"/>
              </w:rPr>
              <w:t>of cancellations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11,720</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redeemed for employee tax</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(120,000)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(7,133)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(7,133)</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 repurchases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(313,998)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(20,878)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(20,881)</w:t>
            </w:r>
          </w:p>
        </w:tc>
        <w:tc>
          <w:tcPr>
            <w:tcW w:w="0" w:type="dxa"/>
            <w:vAlign w:val="bottom"/>
          </w:tcPr>
          <w:p>
            <w:pPr>
              <w:spacing w:after="0"/>
              <w:rPr>
                <w:sz w:val="1"/>
                <w:szCs w:val="1"/>
                <w:color w:val="auto"/>
              </w:rPr>
            </w:pPr>
          </w:p>
        </w:tc>
      </w:tr>
      <w:tr>
        <w:trPr>
          <w:trHeight w:val="20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24,559,854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(2,780,835)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(128,366)</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444,974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195,541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524,609</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jc w:val="center"/>
        <w:ind w:left="7060"/>
        <w:spacing w:after="0"/>
        <w:rPr>
          <w:sz w:val="20"/>
          <w:szCs w:val="20"/>
          <w:color w:val="auto"/>
        </w:rPr>
      </w:pPr>
      <w:r>
        <w:rPr>
          <w:rFonts w:ascii="Arial" w:cs="Arial" w:eastAsia="Arial" w:hAnsi="Arial"/>
          <w:sz w:val="16"/>
          <w:szCs w:val="16"/>
          <w:b w:val="1"/>
          <w:bCs w:val="1"/>
          <w:color w:val="auto"/>
        </w:rPr>
        <w:t>Three Months Ended</w:t>
      </w:r>
    </w:p>
    <w:p>
      <w:pPr>
        <w:jc w:val="center"/>
        <w:ind w:left="706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5,405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(42,308)</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cash flows from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7,415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lease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8,504</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Goodwill impairment charges</w:t>
            </w: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59,816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Allowances for doubtful accounts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(14,016)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sale of business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Change in fair value of contingent consideration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 net of acquisition and divestiture: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360"/>
              <w:spacing w:after="0"/>
              <w:rPr>
                <w:sz w:val="20"/>
                <w:szCs w:val="20"/>
                <w:color w:val="auto"/>
              </w:rPr>
            </w:pPr>
            <w:r>
              <w:rPr>
                <w:rFonts w:ascii="Arial" w:cs="Arial" w:eastAsia="Arial" w:hAnsi="Arial"/>
                <w:sz w:val="16"/>
                <w:szCs w:val="16"/>
                <w:color w:val="auto"/>
              </w:rPr>
              <w:t>(Increase) decrease in receivables from clients,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11,698</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unbilled services,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(9,138)</w:t>
            </w:r>
          </w:p>
        </w:tc>
        <w:tc>
          <w:tcPr>
            <w:tcW w:w="0" w:type="dxa"/>
            <w:vAlign w:val="bottom"/>
          </w:tcPr>
          <w:p>
            <w:pPr>
              <w:spacing w:after="0"/>
              <w:rPr>
                <w:sz w:val="1"/>
                <w:szCs w:val="1"/>
                <w:color w:val="auto"/>
              </w:rPr>
            </w:pPr>
          </w:p>
        </w:tc>
      </w:tr>
      <w:tr>
        <w:trPr>
          <w:trHeight w:val="213"/>
        </w:trPr>
        <w:tc>
          <w:tcPr>
            <w:tcW w:w="7640" w:type="dxa"/>
            <w:vAlign w:val="bottom"/>
          </w:tcPr>
          <w:p>
            <w:pPr>
              <w:ind w:left="360"/>
              <w:spacing w:after="0"/>
              <w:rPr>
                <w:sz w:val="20"/>
                <w:szCs w:val="20"/>
                <w:color w:val="auto"/>
              </w:rPr>
            </w:pPr>
            <w:r>
              <w:rPr>
                <w:rFonts w:ascii="Arial" w:cs="Arial" w:eastAsia="Arial" w:hAnsi="Arial"/>
                <w:sz w:val="16"/>
                <w:szCs w:val="16"/>
                <w:color w:val="auto"/>
              </w:rPr>
              <w:t>(Increase) decrease in current income tax receivable / payable,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2,332</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other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4,304</w:t>
            </w:r>
          </w:p>
        </w:tc>
        <w:tc>
          <w:tcPr>
            <w:tcW w:w="0" w:type="dxa"/>
            <w:vAlign w:val="bottom"/>
          </w:tcPr>
          <w:p>
            <w:pPr>
              <w:spacing w:after="0"/>
              <w:rPr>
                <w:sz w:val="1"/>
                <w:szCs w:val="1"/>
                <w:color w:val="auto"/>
              </w:rPr>
            </w:pPr>
          </w:p>
        </w:tc>
      </w:tr>
      <w:tr>
        <w:trPr>
          <w:trHeight w:val="213"/>
        </w:trPr>
        <w:tc>
          <w:tcPr>
            <w:tcW w:w="7640" w:type="dxa"/>
            <w:vAlign w:val="bottom"/>
          </w:tcPr>
          <w:p>
            <w:pPr>
              <w:ind w:left="360"/>
              <w:spacing w:after="0"/>
              <w:rPr>
                <w:sz w:val="20"/>
                <w:szCs w:val="20"/>
                <w:color w:val="auto"/>
              </w:rPr>
            </w:pPr>
            <w:r>
              <w:rPr>
                <w:rFonts w:ascii="Arial" w:cs="Arial" w:eastAsia="Arial" w:hAnsi="Arial"/>
                <w:sz w:val="16"/>
                <w:szCs w:val="16"/>
                <w:color w:val="auto"/>
              </w:rPr>
              <w:t>Increase (decrease) in accounts payable and other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(3,708)</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accrued payroll and related benefits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(84,910)</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Increase (decrease) in deferred revenues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1,606</w:t>
            </w:r>
          </w:p>
        </w:tc>
        <w:tc>
          <w:tcPr>
            <w:tcW w:w="0" w:type="dxa"/>
            <w:vAlign w:val="bottom"/>
          </w:tcPr>
          <w:p>
            <w:pPr>
              <w:spacing w:after="0"/>
              <w:rPr>
                <w:sz w:val="1"/>
                <w:szCs w:val="1"/>
                <w:color w:val="auto"/>
              </w:rPr>
            </w:pPr>
          </w:p>
        </w:tc>
      </w:tr>
      <w:tr>
        <w:trPr>
          <w:trHeight w:val="213"/>
        </w:trPr>
        <w:tc>
          <w:tcPr>
            <w:tcW w:w="76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(82,754)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(56,146)</w:t>
            </w:r>
          </w:p>
        </w:tc>
        <w:tc>
          <w:tcPr>
            <w:tcW w:w="0" w:type="dxa"/>
            <w:vAlign w:val="bottom"/>
          </w:tcPr>
          <w:p>
            <w:pPr>
              <w:spacing w:after="0"/>
              <w:rPr>
                <w:sz w:val="1"/>
                <w:szCs w:val="1"/>
                <w:color w:val="auto"/>
              </w:rPr>
            </w:pPr>
          </w:p>
        </w:tc>
      </w:tr>
      <w:tr>
        <w:trPr>
          <w:trHeight w:val="195"/>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net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Purchases of investment securities</w:t>
            </w: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(13,000)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life insurance policies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Purchases of businesses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of internally developed software costs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(2,922)</w:t>
            </w:r>
          </w:p>
        </w:tc>
        <w:tc>
          <w:tcPr>
            <w:tcW w:w="0" w:type="dxa"/>
            <w:vAlign w:val="bottom"/>
          </w:tcPr>
          <w:p>
            <w:pPr>
              <w:spacing w:after="0"/>
              <w:rPr>
                <w:sz w:val="1"/>
                <w:szCs w:val="1"/>
                <w:color w:val="auto"/>
              </w:rPr>
            </w:pPr>
          </w:p>
        </w:tc>
      </w:tr>
      <w:tr>
        <w:trPr>
          <w:trHeight w:val="207"/>
        </w:trPr>
        <w:tc>
          <w:tcPr>
            <w:tcW w:w="76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(18,395)</w:t>
            </w:r>
          </w:p>
        </w:tc>
        <w:tc>
          <w:tcPr>
            <w:tcW w:w="0" w:type="dxa"/>
            <w:vAlign w:val="bottom"/>
          </w:tcPr>
          <w:p>
            <w:pPr>
              <w:spacing w:after="0"/>
              <w:rPr>
                <w:sz w:val="1"/>
                <w:szCs w:val="1"/>
                <w:color w:val="auto"/>
              </w:rPr>
            </w:pP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redeemed for employee tax withholdings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(7,133)</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Share repurchases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(22,115)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bank borrowings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281,000</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Repayments of bank borrowings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(24,135)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(38,131)</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45,082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214,089</w:t>
            </w:r>
          </w:p>
        </w:tc>
        <w:tc>
          <w:tcPr>
            <w:tcW w:w="0" w:type="dxa"/>
            <w:vAlign w:val="bottom"/>
          </w:tcPr>
          <w:p>
            <w:pPr>
              <w:spacing w:after="0"/>
              <w:rPr>
                <w:sz w:val="1"/>
                <w:szCs w:val="1"/>
                <w:color w:val="auto"/>
              </w:rPr>
            </w:pPr>
          </w:p>
        </w:tc>
      </w:tr>
      <w:tr>
        <w:trPr>
          <w:trHeight w:val="207"/>
        </w:trPr>
        <w:tc>
          <w:tcPr>
            <w:tcW w:w="764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139,405</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the period</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67,177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11,604</w:t>
            </w:r>
          </w:p>
        </w:tc>
        <w:tc>
          <w:tcPr>
            <w:tcW w:w="0" w:type="dxa"/>
            <w:vAlign w:val="bottom"/>
          </w:tcPr>
          <w:p>
            <w:pPr>
              <w:spacing w:after="0"/>
              <w:rPr>
                <w:sz w:val="1"/>
                <w:szCs w:val="1"/>
                <w:color w:val="auto"/>
              </w:rPr>
            </w:pPr>
          </w:p>
        </w:tc>
      </w:tr>
      <w:tr>
        <w:trPr>
          <w:trHeight w:val="23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the period</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21,623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151,009</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6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640" w:type="dxa"/>
            <w:vAlign w:val="bottom"/>
          </w:tcPr>
          <w:p>
            <w:pPr>
              <w:ind w:left="360"/>
              <w:spacing w:after="0" w:line="178" w:lineRule="exact"/>
              <w:rPr>
                <w:sz w:val="20"/>
                <w:szCs w:val="20"/>
                <w:color w:val="auto"/>
              </w:rPr>
            </w:pPr>
            <w:r>
              <w:rPr>
                <w:rFonts w:ascii="Arial" w:cs="Arial" w:eastAsia="Arial" w:hAnsi="Arial"/>
                <w:sz w:val="16"/>
                <w:szCs w:val="16"/>
                <w:color w:val="auto"/>
              </w:rPr>
              <w:t>Property and equipment expenditures and capitalized software included in accounts payable, accrued</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640" w:type="dxa"/>
            <w:vAlign w:val="bottom"/>
          </w:tcPr>
          <w:p>
            <w:pPr>
              <w:ind w:left="360"/>
              <w:spacing w:after="0"/>
              <w:rPr>
                <w:sz w:val="20"/>
                <w:szCs w:val="20"/>
                <w:color w:val="auto"/>
              </w:rPr>
            </w:pPr>
            <w:r>
              <w:rPr>
                <w:rFonts w:ascii="Arial" w:cs="Arial" w:eastAsia="Arial" w:hAnsi="Arial"/>
                <w:sz w:val="16"/>
                <w:szCs w:val="16"/>
                <w:color w:val="auto"/>
              </w:rPr>
              <w:t>expenses and accrued payroll and related benefits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3,545</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3,716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 repurchases included in accounts payable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640" w:type="dxa"/>
            <w:vAlign w:val="bottom"/>
          </w:tcPr>
          <w:p>
            <w:pPr>
              <w:ind w:left="360"/>
              <w:spacing w:after="0"/>
              <w:rPr>
                <w:sz w:val="20"/>
                <w:szCs w:val="20"/>
                <w:color w:val="auto"/>
              </w:rPr>
            </w:pPr>
            <w:r>
              <w:rPr>
                <w:rFonts w:ascii="Arial" w:cs="Arial" w:eastAsia="Arial" w:hAnsi="Arial"/>
                <w:sz w:val="16"/>
                <w:szCs w:val="16"/>
                <w:color w:val="auto"/>
              </w:rPr>
              <w:t>Deferred payment on business acquisition</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22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0680"/>
          </w:cols>
          <w:pgMar w:left="320" w:top="14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40" w:right="89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Huron is a global consultancy that collaborates with clients to drive strategic growth, ignite innovation and navigate constant change. Through a combination of strategy, expertise and creativity, we help clients accelerate operational, digital and cultural transformation, enabling the change they need to own their future. By embracing diverse perspectives, encouraging new ideas and challenging the status quo, Huron creates sustainable results for the organizations it serves.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accompanying unaudited consolidated financial statements reflect the financial position, results of operations, and cash flows as of and for the three months ended March 31, 2021 and 2020.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for the year ended December 31, 2020 included in our Annual Report on Form 10-K. Our results for any interim period are not necessarily indicative of results for a full year or any other interim period.</w:t>
      </w:r>
    </w:p>
    <w:p>
      <w:pPr>
        <w:spacing w:after="0" w:line="15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During the first quarter of 2021, we identified an error on our previously reported Consolidated Balance Sheet as of December 31, 2020 related to the classification between receivables from clients, unbilled services, and deferred revenues. The Consolidated Balance Sheet as of December 31, 2020 presented herein has been revised to reflect the correction of this error. The results of this correction on the Consolidated Balance Sheet were a decrease in unbilled services of $7.2 million, an increase in receivables from clients of $0.7 million, and a decrease in deferred revenues of $6.5 million. This error had no impact on our Consolidated Statement of Operations and Other Comprehensive Income. This error had no impact on our Consolidated Statement of Cash Flows for the three months ended March 31, 2021 and 2020. The Company evaluated the materiality of this error from both quantitative and qualitative perspectives and concluded that the impact of the error was not material to the financial statements for the year ended December 31, 2020.</w:t>
      </w:r>
    </w:p>
    <w:p>
      <w:pPr>
        <w:spacing w:after="0" w:line="151"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Preparation of our consolidated financial statements requires management to make estimates and assumptions that affect the amounts reported in our consolidated financial statements and related disclosures. The business and economic uncertainty resulting from the coronavirus (COVID-19) pandemic has made such estimates and assumptions more difficult to predict. Accordingly, actual results and outcomes could differ from those estimates.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7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 xml:space="preserve">In October 2020, the FASB issued ASU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xml:space="preserve"> ASU 2020-10 situates all disclosure guidance within the appropriate disclosure section of the Codification and makes other improvements and technical corrections to the Codification. We adopted ASU 2020-10 effective January 1, 2021, which did not have any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reportable segment for the three months ended March 31, 2021.</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Healthcare</w:t>
            </w:r>
          </w:p>
        </w:tc>
        <w:tc>
          <w:tcPr>
            <w:tcW w:w="24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Business</w:t>
            </w:r>
          </w:p>
        </w:tc>
        <w:tc>
          <w:tcPr>
            <w:tcW w:w="220" w:type="dxa"/>
            <w:vAlign w:val="bottom"/>
          </w:tcPr>
          <w:p>
            <w:pPr>
              <w:spacing w:after="0"/>
              <w:rPr>
                <w:sz w:val="17"/>
                <w:szCs w:val="17"/>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Education</w:t>
            </w:r>
          </w:p>
        </w:tc>
        <w:tc>
          <w:tcPr>
            <w:tcW w:w="340" w:type="dxa"/>
            <w:vAlign w:val="bottom"/>
          </w:tcPr>
          <w:p>
            <w:pPr>
              <w:spacing w:after="0"/>
              <w:rPr>
                <w:sz w:val="17"/>
                <w:szCs w:val="17"/>
                <w:color w:val="auto"/>
              </w:rPr>
            </w:pPr>
          </w:p>
        </w:tc>
        <w:tc>
          <w:tcPr>
            <w:tcW w:w="11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Advisory</w:t>
            </w:r>
          </w:p>
        </w:tc>
        <w:tc>
          <w:tcPr>
            <w:tcW w:w="2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636,810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308,935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104,384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1,050,129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(455,892)</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Goodwill, net as of December 31, 2020</w:t>
            </w: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428,729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61,124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594,237</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Goodwill recorded in connection with a business acquisition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Goodwill, net as of March 31, 2021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428,729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64,439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597,552</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right="200" w:hanging="652"/>
        <w:spacing w:after="0" w:line="254" w:lineRule="auto"/>
        <w:tabs>
          <w:tab w:leader="none" w:pos="691"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February 1, 2021, we completed the acquisition of Unico Solution, a data strategy and technology consulting firm focused on helping clients use their data to speed business transformation and accelerate cloud adoption. The results of operations of Unico Solution are included in our consolidated financial statements and results of operations of our Business Advisory segment from the date of acquisition. This acquisition is not significant to our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2020 Goodwill Impairment Charges</w:t>
      </w:r>
    </w:p>
    <w:p>
      <w:pPr>
        <w:spacing w:after="0" w:line="19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worldwide spread of the COVID-19 pandemic in the first quarter of 2020 has created significant volatility, uncertainty and disruption to the global economy. From the onset of the COVID-19 pandemic, we closely monitored the impact it could have on all aspects of our business, including how we expect it to negatively impact our clients, employees and business partners. While the COVID-19 pandemic did not have a significant impact on our consolidated revenues in the first quarter of 2020, we expected it to have an unfavorable impact on sales, increase uncertainty in the backlog and negatively impact full year 2020 results. The services provided by our Strategy and Innovation and Life Sciences reporting units within our Business Advisory segment focus on strategic solutions for healthy, well-capitalized companies to identify new growth opportunities, which may be considered by our clients to be more discretionary in nature, and the duration of the projects within these practices are typically short-term. Therefore, at the onset of the COVID-19 pandemic in the U.S. and due to the uncertainty caused by the pandemic, we were cautious about near-term results for these two reporting units. Based on our internal projections and the preparation of our financial statements for the quarter ended March 31, 2020, and considering the expected decrease in demand due to the COVID-19 pandemic, during the first quarter of 2020 we believed it was more likely than not that the fair value of these two reporting units no longer exceeded their carrying values and performed an interim impairment test on both reporting units as of March 31, 2020.</w:t>
      </w:r>
    </w:p>
    <w:p>
      <w:pPr>
        <w:spacing w:after="0" w:line="14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Based on the estimated fair values of the Strategy and Innovation and Life Sciences reporting units, we recorded non-cash pretax goodwill impairment charges of $49.9 million and $9.9 million, respectively, in the first quarter of 2020. The $49.9 million non-cash pretax charge related to the Strategy and Innovation reporting unit reduced the goodwill balance of the reporting unit to $37.5 million. The $9.9 million non-cash pretax charge related to the Life Sciences reporting unit reduced the goodwill balance of the reporting unit to zero.</w:t>
      </w:r>
    </w:p>
    <w:p>
      <w:pPr>
        <w:spacing w:after="0" w:line="150"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Our goodwill impairment test was performed by comparing the fair value of each of the Strategy and Innovation and Life Sciences reporting units with its respective carrying value and recognizing an impairment charge for the amount by which the carrying value exceeded the fair value. To estimate the fair value of each reporting unit, we relied on a combination of the income approach and the market approach with a fifty-fifty weighting.</w:t>
      </w:r>
    </w:p>
    <w:p>
      <w:pPr>
        <w:spacing w:after="0" w:line="15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the income approach, we utilized a discounted cash flow analysis, which involved estimating the expected after-tax cash flows that will be generated by each reporting unit and then discounting those cash flows to present value, reflecting the relevant risks associated with each reporting unit and the time value of money. This approach requires the use of significant estimates and assumptions, including forecasted revenue growth rates, forecasted EBITDA margins, and discount rates that reflect the risk inherent in the future cash flows. In estimating future cash flows, we relied on internally generated seven-year forecasts. Our forecasts are based on historical experience, current backlog, expected market demand, and other industry information.</w:t>
      </w:r>
    </w:p>
    <w:p>
      <w:pPr>
        <w:spacing w:after="0" w:line="15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the market approach, we utilized the guideline company method, which involved calculating revenue multiples based on operating data from guideline publicly traded companies. Multiples derived from guideline companies provide an indication of how much a knowledgeable investor in the marketplace would be willing to pay for a company. These multiples were evaluated and adjusted based on specific characteristics of the Strategy and Innovation and Life Sciences reporting units relative to the selected guideline companies and applied to</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 reporting units' operating data to arrive at an indication of value.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March 31, 2021 and December 31, 2020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As of March 31, 2021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As of December 31, 2020</w:t>
            </w: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2000" w:type="dxa"/>
            <w:vAlign w:val="bottom"/>
            <w:vMerge w:val="restart"/>
          </w:tcPr>
          <w:p>
            <w:pPr>
              <w:jc w:val="center"/>
              <w:ind w:left="510"/>
              <w:spacing w:after="0"/>
              <w:rPr>
                <w:sz w:val="20"/>
                <w:szCs w:val="20"/>
                <w:color w:val="auto"/>
              </w:rPr>
            </w:pPr>
            <w:r>
              <w:rPr>
                <w:rFonts w:ascii="Arial" w:cs="Arial" w:eastAsia="Arial" w:hAnsi="Arial"/>
                <w:sz w:val="18"/>
                <w:szCs w:val="18"/>
                <w:b w:val="1"/>
                <w:bCs w:val="1"/>
                <w:color w:val="auto"/>
                <w:w w:val="99"/>
              </w:rPr>
              <w:t>Useful Life</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4"/>
                <w:szCs w:val="14"/>
                <w:color w:val="auto"/>
              </w:rPr>
            </w:pPr>
          </w:p>
        </w:tc>
        <w:tc>
          <w:tcPr>
            <w:tcW w:w="1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Accumulated</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9"/>
              </w:rPr>
              <w:t>Carrying</w:t>
            </w:r>
          </w:p>
        </w:tc>
        <w:tc>
          <w:tcPr>
            <w:tcW w:w="1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9"/>
              </w:rPr>
              <w:t>Carrying</w:t>
            </w:r>
          </w:p>
        </w:tc>
        <w:tc>
          <w:tcPr>
            <w:tcW w:w="1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2000" w:type="dxa"/>
            <w:vAlign w:val="bottom"/>
          </w:tcPr>
          <w:p>
            <w:pPr>
              <w:jc w:val="center"/>
              <w:ind w:left="550"/>
              <w:spacing w:after="0"/>
              <w:rPr>
                <w:sz w:val="20"/>
                <w:szCs w:val="20"/>
                <w:color w:val="auto"/>
              </w:rPr>
            </w:pPr>
            <w:r>
              <w:rPr>
                <w:rFonts w:ascii="Arial" w:cs="Arial" w:eastAsia="Arial" w:hAnsi="Arial"/>
                <w:sz w:val="18"/>
                <w:szCs w:val="18"/>
                <w:b w:val="1"/>
                <w:bCs w:val="1"/>
                <w:color w:val="auto"/>
                <w:w w:val="99"/>
              </w:rPr>
              <w:t>(in years)</w:t>
            </w:r>
          </w:p>
        </w:tc>
        <w:tc>
          <w:tcPr>
            <w:tcW w:w="24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Amortization</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0" w:type="dxa"/>
            <w:vAlign w:val="bottom"/>
            <w:tcBorders>
              <w:top w:val="single" w:sz="8" w:color="CCEEFF"/>
            </w:tcBorders>
            <w:shd w:val="clear" w:color="auto" w:fill="CCEEFF"/>
          </w:tcPr>
          <w:p>
            <w:pPr>
              <w:jc w:val="center"/>
              <w:ind w:left="550"/>
              <w:spacing w:after="0"/>
              <w:rPr>
                <w:sz w:val="20"/>
                <w:szCs w:val="20"/>
                <w:color w:val="auto"/>
              </w:rPr>
            </w:pPr>
            <w:r>
              <w:rPr>
                <w:rFonts w:ascii="Arial" w:cs="Arial" w:eastAsia="Arial" w:hAnsi="Arial"/>
                <w:sz w:val="18"/>
                <w:szCs w:val="18"/>
                <w:color w:val="auto"/>
              </w:rPr>
              <w:t>3 to 13</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73,629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56,232</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2000" w:type="dxa"/>
            <w:vAlign w:val="bottom"/>
          </w:tcPr>
          <w:p>
            <w:pPr>
              <w:jc w:val="center"/>
              <w:ind w:left="530"/>
              <w:spacing w:after="0"/>
              <w:rPr>
                <w:sz w:val="20"/>
                <w:szCs w:val="20"/>
                <w:color w:val="auto"/>
              </w:rPr>
            </w:pPr>
            <w:r>
              <w:rPr>
                <w:rFonts w:ascii="Arial" w:cs="Arial" w:eastAsia="Arial" w:hAnsi="Arial"/>
                <w:sz w:val="18"/>
                <w:szCs w:val="18"/>
                <w:color w:val="auto"/>
                <w:w w:val="99"/>
              </w:rPr>
              <w:t>6</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Non-competition agreements</w:t>
            </w:r>
          </w:p>
        </w:tc>
        <w:tc>
          <w:tcPr>
            <w:tcW w:w="20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9"/>
              </w:rPr>
              <w:t>5</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Technology and software</w:t>
            </w:r>
          </w:p>
        </w:tc>
        <w:tc>
          <w:tcPr>
            <w:tcW w:w="2000" w:type="dxa"/>
            <w:vAlign w:val="bottom"/>
          </w:tcPr>
          <w:p>
            <w:pPr>
              <w:jc w:val="center"/>
              <w:ind w:left="530"/>
              <w:spacing w:after="0"/>
              <w:rPr>
                <w:sz w:val="20"/>
                <w:szCs w:val="20"/>
                <w:color w:val="auto"/>
              </w:rPr>
            </w:pPr>
            <w:r>
              <w:rPr>
                <w:rFonts w:ascii="Arial" w:cs="Arial" w:eastAsia="Arial" w:hAnsi="Arial"/>
                <w:sz w:val="18"/>
                <w:szCs w:val="18"/>
                <w:color w:val="auto"/>
                <w:w w:val="99"/>
              </w:rPr>
              <w:t>5</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contracts</w:t>
            </w:r>
          </w:p>
        </w:tc>
        <w:tc>
          <w:tcPr>
            <w:tcW w:w="20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9"/>
              </w:rPr>
              <w:t>2</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3"/>
        </w:trPr>
        <w:tc>
          <w:tcPr>
            <w:tcW w:w="3160" w:type="dxa"/>
            <w:vAlign w:val="bottom"/>
          </w:tcPr>
          <w:p>
            <w:pPr>
              <w:ind w:left="360"/>
              <w:spacing w:after="0"/>
              <w:rPr>
                <w:sz w:val="20"/>
                <w:szCs w:val="20"/>
                <w:color w:val="auto"/>
              </w:rPr>
            </w:pPr>
            <w:r>
              <w:rPr>
                <w:rFonts w:ascii="Arial" w:cs="Arial" w:eastAsia="Arial" w:hAnsi="Arial"/>
                <w:sz w:val="18"/>
                <w:szCs w:val="18"/>
                <w:color w:val="auto"/>
              </w:rPr>
              <w:t>Total</w:t>
            </w:r>
          </w:p>
        </w:tc>
        <w:tc>
          <w:tcPr>
            <w:tcW w:w="20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70,608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88,449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67,966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amortization expense was $2.4 million and $3.2 million for the three months ended March 31, 2021 and 2020,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estimated annual amortization expense for the intangible assets recorded as of March 31,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gridSpan w:val="2"/>
            <w:vMerge w:val="restart"/>
          </w:tcPr>
          <w:p>
            <w:pPr>
              <w:ind w:left="3240"/>
              <w:spacing w:after="0"/>
              <w:rPr>
                <w:sz w:val="20"/>
                <w:szCs w:val="20"/>
                <w:color w:val="auto"/>
              </w:rPr>
            </w:pPr>
            <w:r>
              <w:rPr>
                <w:rFonts w:ascii="Arial" w:cs="Arial" w:eastAsia="Arial" w:hAnsi="Arial"/>
                <w:sz w:val="18"/>
                <w:szCs w:val="18"/>
                <w:b w:val="1"/>
                <w:bCs w:val="1"/>
                <w:color w:val="auto"/>
              </w:rPr>
              <w:t>Year Ending December 31,</w:t>
            </w:r>
          </w:p>
        </w:tc>
        <w:tc>
          <w:tcPr>
            <w:tcW w:w="140" w:type="dxa"/>
            <w:vAlign w:val="bottom"/>
          </w:tcPr>
          <w:p>
            <w:pPr>
              <w:spacing w:after="0"/>
              <w:rPr>
                <w:sz w:val="18"/>
                <w:szCs w:val="18"/>
                <w:color w:val="auto"/>
              </w:rPr>
            </w:pPr>
          </w:p>
        </w:tc>
        <w:tc>
          <w:tcPr>
            <w:tcW w:w="2240" w:type="dxa"/>
            <w:vAlign w:val="bottom"/>
          </w:tcPr>
          <w:p>
            <w:pPr>
              <w:jc w:val="right"/>
              <w:ind w:right="90"/>
              <w:spacing w:after="0"/>
              <w:rPr>
                <w:sz w:val="20"/>
                <w:szCs w:val="20"/>
                <w:color w:val="auto"/>
              </w:rPr>
            </w:pPr>
            <w:r>
              <w:rPr>
                <w:rFonts w:ascii="Arial" w:cs="Arial" w:eastAsia="Arial" w:hAnsi="Arial"/>
                <w:sz w:val="18"/>
                <w:szCs w:val="18"/>
                <w:b w:val="1"/>
                <w:bCs w:val="1"/>
                <w:color w:val="auto"/>
              </w:rPr>
              <w:t>Estimated Amortization</w:t>
            </w:r>
          </w:p>
        </w:tc>
        <w:tc>
          <w:tcPr>
            <w:tcW w:w="0" w:type="dxa"/>
            <w:vAlign w:val="bottom"/>
          </w:tcPr>
          <w:p>
            <w:pPr>
              <w:spacing w:after="0"/>
              <w:rPr>
                <w:sz w:val="1"/>
                <w:szCs w:val="1"/>
                <w:color w:val="auto"/>
              </w:rPr>
            </w:pPr>
          </w:p>
        </w:tc>
      </w:tr>
      <w:tr>
        <w:trPr>
          <w:trHeight w:val="230"/>
        </w:trPr>
        <w:tc>
          <w:tcPr>
            <w:tcW w:w="8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tcPr>
          <w:p>
            <w:pPr>
              <w:jc w:val="right"/>
              <w:ind w:right="730"/>
              <w:spacing w:after="0"/>
              <w:rPr>
                <w:sz w:val="20"/>
                <w:szCs w:val="20"/>
                <w:color w:val="auto"/>
              </w:rPr>
            </w:pPr>
            <w:r>
              <w:rPr>
                <w:rFonts w:ascii="Arial" w:cs="Arial" w:eastAsia="Arial" w:hAnsi="Arial"/>
                <w:sz w:val="18"/>
                <w:szCs w:val="18"/>
                <w:b w:val="1"/>
                <w:bCs w:val="1"/>
                <w:color w:val="auto"/>
              </w:rPr>
              <w:t>Expense</w:t>
            </w:r>
          </w:p>
        </w:tc>
        <w:tc>
          <w:tcPr>
            <w:tcW w:w="0" w:type="dxa"/>
            <w:vAlign w:val="bottom"/>
          </w:tcPr>
          <w:p>
            <w:pPr>
              <w:spacing w:after="0"/>
              <w:rPr>
                <w:sz w:val="1"/>
                <w:szCs w:val="1"/>
                <w:color w:val="auto"/>
              </w:rPr>
            </w:pPr>
          </w:p>
        </w:tc>
      </w:tr>
      <w:tr>
        <w:trPr>
          <w:trHeight w:val="223"/>
        </w:trPr>
        <w:tc>
          <w:tcPr>
            <w:tcW w:w="8740" w:type="dxa"/>
            <w:vAlign w:val="bottom"/>
            <w:tcBorders>
              <w:top w:val="single" w:sz="8" w:color="auto"/>
            </w:tcBorders>
            <w:shd w:val="clear" w:color="auto" w:fill="CCEEFF"/>
          </w:tcPr>
          <w:p>
            <w:pPr>
              <w:jc w:val="right"/>
              <w:ind w:right="8230"/>
              <w:spacing w:after="0"/>
              <w:rPr>
                <w:sz w:val="20"/>
                <w:szCs w:val="20"/>
                <w:color w:val="auto"/>
              </w:rPr>
            </w:pPr>
            <w:r>
              <w:rPr>
                <w:rFonts w:ascii="Arial" w:cs="Arial" w:eastAsia="Arial" w:hAnsi="Arial"/>
                <w:sz w:val="18"/>
                <w:szCs w:val="18"/>
                <w:color w:val="auto"/>
                <w:w w:val="99"/>
              </w:rPr>
              <w:t>2021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9,059</w:t>
            </w:r>
          </w:p>
        </w:tc>
        <w:tc>
          <w:tcPr>
            <w:tcW w:w="0" w:type="dxa"/>
            <w:vAlign w:val="bottom"/>
          </w:tcPr>
          <w:p>
            <w:pPr>
              <w:spacing w:after="0"/>
              <w:rPr>
                <w:sz w:val="1"/>
                <w:szCs w:val="1"/>
                <w:color w:val="auto"/>
              </w:rPr>
            </w:pPr>
          </w:p>
        </w:tc>
      </w:tr>
      <w:tr>
        <w:trPr>
          <w:trHeight w:val="230"/>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6,878</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30"/>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2021 and 2020, we recognized revenues of $203.2 million and $222.6 million, respectively. Of the</w:t>
      </w:r>
    </w:p>
    <w:p>
      <w:pPr>
        <w:spacing w:after="0" w:line="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$203.2 million recognized in the first quarter of 2021, we recognized revenues of $4.8 million from obligations satisfied, or partially satisfied, in prior periods, of which $2.5 million was primarily due to the release of allowances on unbilled services as a result of securing contract amendments and $2.3 million was due to changes in the estimates of our variable consideration under performance-based billing arrangements. Of the $222.6 million recognized in the first quarter of 2020, we recognized revenues of $7.9 million from obligations satisfied, or partially satisfied, in prior periods, of which $4.8 million was due to changes in the estimates of our variable consideration under performance-based billing arrangements and $3.1 million was primarily due to the release of allowances on unbilled services as a result of securing contract amendments.</w:t>
      </w:r>
    </w:p>
    <w:p>
      <w:pPr>
        <w:spacing w:after="0" w:line="15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of March 31, 2021, we had $61.0 million of remaining performance obligations under engagements with original expected durations greater than one year. These remaining performance obligations exclude obligations under contracts with an original expected duration of one year or less, variable consideration which has been excluded from the total transaction price due to the constraint, and performance obligations under time-and-expense engagements which are recognized in the amount invoiced. Of the $61.0 million of performance obligations, we expect to recognize approximately $34.8 million as revenue in 2021, $13.9 million in 2022, and the remaining $ 12.3 million thereafter. Actual revenue recognition could differ from these amounts as a result of changes in the estimated timing of work to be performed, adjustments to estimated variable consideration in performance-based arrangements, or other factors.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9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w:t>
      </w:r>
    </w:p>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balance as of March 31, 2021 and December 31, 2020 was $16.7 million and $17.3 million, respectively. The $0.6 million decrease primarily reflects timing differences between the completion of our performance obligations and the amounts billed or billable to clients in accordance with their contractual billing terms.</w:t>
      </w:r>
    </w:p>
    <w:p>
      <w:pPr>
        <w:spacing w:after="0" w:line="154"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Client prepayments and retainers are classified as deferred revenues and recognized over future periods in accordance with the applicable engagement agreement and our revenue recognition policy. Our deferred revenues balance as of March 31, 2021 and December 31, 2020, was $18.7 million and $28.2 million, respectively. The $9.5 million decrease primarily reflects timing differences between client payments in accordance with their contract terms and the completion of our performance obligations. For the three months ended March 31, 2021, $20.8 million of revenues recognized were included in the deferred revenue balance as of December 31,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unvested restricted stock units, outstanding common stock options, convertible senior notes, and outstanding warrants, to the extent dilutive. In periods for which we report a net loss from continuing operations, diluted weighted average common shares outstanding excludes all potential common stock equivalents as their impact on diluted net loss from continuing operations per share would be anti-dilutive.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under the basic and diluted computations are as follows:</w:t>
      </w:r>
    </w:p>
    <w:p>
      <w:pPr>
        <w:spacing w:after="0" w:line="275" w:lineRule="exact"/>
        <w:rPr>
          <w:sz w:val="20"/>
          <w:szCs w:val="20"/>
          <w:color w:val="auto"/>
        </w:rPr>
      </w:pPr>
    </w:p>
    <w:p>
      <w:pPr>
        <w:jc w:val="center"/>
        <w:ind w:left="8220"/>
        <w:spacing w:after="0"/>
        <w:rPr>
          <w:sz w:val="20"/>
          <w:szCs w:val="20"/>
          <w:color w:val="auto"/>
        </w:rPr>
      </w:pPr>
      <w:r>
        <w:rPr>
          <w:rFonts w:ascii="Arial" w:cs="Arial" w:eastAsia="Arial" w:hAnsi="Arial"/>
          <w:sz w:val="18"/>
          <w:szCs w:val="18"/>
          <w:b w:val="1"/>
          <w:bCs w:val="1"/>
          <w:color w:val="auto"/>
        </w:rPr>
        <w:t>Three Months Ended</w:t>
      </w:r>
    </w:p>
    <w:p>
      <w:pPr>
        <w:jc w:val="center"/>
        <w:ind w:left="822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(42,273)</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48"/>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21,827</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stock equivalents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 per basic share: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8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earnings (loss) per diluted share: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number of anti-dilutive securities excluded from the computation of the weighted average common stock equivalents presented above were as follows: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As of 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6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w:t>
            </w: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29"/>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Outstanding common stock options</w:t>
            </w: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Warrants related to the issuance of convertible senior notes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rPr>
              <w:t>Total anti-dilutive securities</w:t>
            </w:r>
          </w:p>
        </w:tc>
        <w:tc>
          <w:tcPr>
            <w:tcW w:w="13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4,207</w:t>
            </w:r>
          </w:p>
        </w:tc>
      </w:tr>
      <w:tr>
        <w:trPr>
          <w:trHeight w:val="21"/>
        </w:trPr>
        <w:tc>
          <w:tcPr>
            <w:tcW w:w="74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See Note 7 “Financing Arrangements” for further information on the convertible senior notes and warrants related to the issuance of convertible notes.</w:t>
      </w:r>
    </w:p>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November 2020, our board of directors authorized a share repurchase program (the “2020 Share Repurchase Program”) permitting us to repurchase up to $50 million of our common stock through December 31, 2021. The 2020 Share Repurchase Program was authorized subsequent to the expiration of our prior share repurchase program (the “2015 Share Repurchase Program”) on October 31, 2020. The 2015 Share Repurchase Program permitted us to repurchase up to $125 million of our common stock through October 31, 2020. The amount and timing of repurchases under both share repurchase programs were and will continue to be determined by management and depend on a variety of factors, including the trading price of our common stock, capacity under our credit facility, general market and business conditions, and applicable legal requirements.</w:t>
      </w:r>
    </w:p>
    <w:p>
      <w:pPr>
        <w:spacing w:after="0" w:line="15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Under the 2020 Share Repurchase Program, we repurchased and retired 245,718 shares for $ 13.2 million in the first quarter of 2021 of which $1.7 million settled in the second quarter of 2021. The 245,718 shares repurchased and retired were reflected as a reduction to our basic weighted average shares outstanding for the quarter ended March 31, 2021 based on the trade date of the share repurchase. As of March 31, 2021, $31.8 million remained available for share repurchases.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Financing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carrying amounts of our debt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tcPr>
          <w:p>
            <w:pPr>
              <w:jc w:val="right"/>
              <w:ind w:right="510"/>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65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2020</w:t>
            </w: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credit facility</w:t>
            </w:r>
          </w:p>
        </w:tc>
        <w:tc>
          <w:tcPr>
            <w:tcW w:w="158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265,000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3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Promissory note due 2024</w:t>
            </w:r>
          </w:p>
        </w:tc>
        <w:tc>
          <w:tcPr>
            <w:tcW w:w="15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w:t>
            </w:r>
          </w:p>
        </w:tc>
      </w:tr>
      <w:tr>
        <w:trPr>
          <w:trHeight w:val="223"/>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58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268,190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203,279</w:t>
            </w:r>
          </w:p>
        </w:tc>
      </w:tr>
      <w:tr>
        <w:trPr>
          <w:trHeight w:val="23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maturities of long-term debt</w:t>
            </w:r>
          </w:p>
        </w:tc>
        <w:tc>
          <w:tcPr>
            <w:tcW w:w="15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r>
      <w:tr>
        <w:trPr>
          <w:trHeight w:val="248"/>
        </w:trPr>
        <w:tc>
          <w:tcPr>
            <w:tcW w:w="6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net of current portion</w:t>
            </w:r>
          </w:p>
        </w:tc>
        <w:tc>
          <w:tcPr>
            <w:tcW w:w="1580" w:type="dxa"/>
            <w:vAlign w:val="bottom"/>
            <w:tcBorders>
              <w:bottom w:val="single" w:sz="8" w:color="auto"/>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267,642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202,780</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352"/>
        </w:trPr>
        <w:tc>
          <w:tcPr>
            <w:tcW w:w="8080" w:type="dxa"/>
            <w:vAlign w:val="bottom"/>
            <w:gridSpan w:val="2"/>
          </w:tcPr>
          <w:p>
            <w:pPr>
              <w:spacing w:after="0"/>
              <w:rPr>
                <w:sz w:val="20"/>
                <w:szCs w:val="20"/>
                <w:color w:val="auto"/>
              </w:rPr>
            </w:pPr>
            <w:r>
              <w:rPr>
                <w:rFonts w:ascii="Arial" w:cs="Arial" w:eastAsia="Arial" w:hAnsi="Arial"/>
                <w:sz w:val="18"/>
                <w:szCs w:val="18"/>
                <w:color w:val="auto"/>
                <w:w w:val="99"/>
              </w:rPr>
              <w:t>Below is a summary of the scheduled remaining principal payments of our debt as of March 31, 2021.</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Principal Payments of</w:t>
            </w:r>
          </w:p>
        </w:tc>
      </w:tr>
      <w:tr>
        <w:trPr>
          <w:trHeight w:val="230"/>
        </w:trPr>
        <w:tc>
          <w:tcPr>
            <w:tcW w:w="90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Long-Term Debt</w:t>
            </w:r>
          </w:p>
        </w:tc>
      </w:tr>
      <w:tr>
        <w:trPr>
          <w:trHeight w:val="223"/>
        </w:trPr>
        <w:tc>
          <w:tcPr>
            <w:tcW w:w="9040" w:type="dxa"/>
            <w:vAlign w:val="bottom"/>
            <w:shd w:val="clear" w:color="auto" w:fill="CCEEFF"/>
          </w:tcPr>
          <w:p>
            <w:pPr>
              <w:jc w:val="right"/>
              <w:ind w:right="8530"/>
              <w:spacing w:after="0"/>
              <w:rPr>
                <w:sz w:val="20"/>
                <w:szCs w:val="20"/>
                <w:color w:val="auto"/>
              </w:rPr>
            </w:pPr>
            <w:r>
              <w:rPr>
                <w:rFonts w:ascii="Arial" w:cs="Arial" w:eastAsia="Arial" w:hAnsi="Arial"/>
                <w:sz w:val="18"/>
                <w:szCs w:val="18"/>
                <w:color w:val="auto"/>
                <w:w w:val="99"/>
              </w:rPr>
              <w:t>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30"/>
        </w:trPr>
        <w:tc>
          <w:tcPr>
            <w:tcW w:w="9040" w:type="dxa"/>
            <w:vAlign w:val="bottom"/>
          </w:tcPr>
          <w:p>
            <w:pPr>
              <w:jc w:val="right"/>
              <w:ind w:right="8530"/>
              <w:spacing w:after="0"/>
              <w:rPr>
                <w:sz w:val="20"/>
                <w:szCs w:val="20"/>
                <w:color w:val="auto"/>
              </w:rPr>
            </w:pPr>
            <w:r>
              <w:rPr>
                <w:rFonts w:ascii="Arial" w:cs="Arial" w:eastAsia="Arial" w:hAnsi="Arial"/>
                <w:sz w:val="18"/>
                <w:szCs w:val="18"/>
                <w:color w:val="auto"/>
                <w:w w:val="99"/>
              </w:rPr>
              <w:t>2022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30"/>
        </w:trPr>
        <w:tc>
          <w:tcPr>
            <w:tcW w:w="9040" w:type="dxa"/>
            <w:vAlign w:val="bottom"/>
            <w:shd w:val="clear" w:color="auto" w:fill="CCEEFF"/>
          </w:tcPr>
          <w:p>
            <w:pPr>
              <w:jc w:val="right"/>
              <w:ind w:right="8530"/>
              <w:spacing w:after="0"/>
              <w:rPr>
                <w:sz w:val="20"/>
                <w:szCs w:val="20"/>
                <w:color w:val="auto"/>
              </w:rPr>
            </w:pPr>
            <w:r>
              <w:rPr>
                <w:rFonts w:ascii="Arial" w:cs="Arial" w:eastAsia="Arial" w:hAnsi="Arial"/>
                <w:sz w:val="18"/>
                <w:szCs w:val="18"/>
                <w:color w:val="auto"/>
                <w:w w:val="99"/>
              </w:rPr>
              <w:t>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9040" w:type="dxa"/>
            <w:vAlign w:val="bottom"/>
          </w:tcPr>
          <w:p>
            <w:pPr>
              <w:jc w:val="right"/>
              <w:ind w:right="8530"/>
              <w:spacing w:after="0"/>
              <w:rPr>
                <w:sz w:val="20"/>
                <w:szCs w:val="20"/>
                <w:color w:val="auto"/>
              </w:rPr>
            </w:pPr>
            <w:r>
              <w:rPr>
                <w:rFonts w:ascii="Arial" w:cs="Arial" w:eastAsia="Arial" w:hAnsi="Arial"/>
                <w:sz w:val="18"/>
                <w:szCs w:val="18"/>
                <w:color w:val="auto"/>
                <w:w w:val="99"/>
              </w:rPr>
              <w:t>2024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266,646</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$ 150 million, subject to customary conditions and the approval of any lender whose commitment would be increased, resulting in a maximum available principal amount under the Amended Credit Agreement of $750 million. The initial borrowings under the Amended Credit Agreement were used to refinance borrowings outstanding</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under a prior credit agreement, and future borrowings under the Amended Credit Agreement may be used for working capital, capital expenditures, acquisitions of businesses, share repurchases, and general corporate purposes.</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1.125% per annum and 1.875% per annum, in the case of LIBOR borrowings, or between 0.125% per annum and 0.875% per annum, in the case of base rate loans, based upon our Consolidated Leverage Ratio at such time.</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w:t>
      </w:r>
    </w:p>
    <w:p>
      <w:pPr>
        <w:spacing w:after="0" w:line="154"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1" w:lineRule="exact"/>
        <w:rPr>
          <w:sz w:val="20"/>
          <w:szCs w:val="20"/>
          <w:color w:val="auto"/>
        </w:rPr>
      </w:pPr>
    </w:p>
    <w:p>
      <w:pPr>
        <w:ind w:right="180" w:firstLine="8"/>
        <w:spacing w:after="0" w:line="252" w:lineRule="auto"/>
        <w:tabs>
          <w:tab w:leader="none" w:pos="21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4.00 to 1.00 upon the occurrence of certain transactions, and (ii) 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March 31, 2021, we were in compliance with these financial covenants with a Consolidated Leverage Ratio of 2.64 to 1.00 and a Consolidated Interest Coverage Ratio of 13.00 to 1.00.</w:t>
      </w:r>
    </w:p>
    <w:p>
      <w:pPr>
        <w:spacing w:after="0" w:line="15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Borrowings outstanding under the Amended Credit Agreement at March 31, 2021 totaled $265.0 million. These borrowings carried a weighted average interest rate of 2.4%, including the effect of the interest rate swaps described in Note 9 “Derivative Instruments and Hedging Activity." Borrowings outstanding under the Amended Credit Agreement at December 31, 2020 were $200.0 million and carried a weighted average interest rate of 2.5%, including the effect of the interest rate swaps outstanding at the time and described in Note 9 “Derivative Instruments and Hedging Activity." The borrowing capacity under the revolving credit facility is reduced by any outstanding borrowings under the revolving credit facility and outstanding letters of credit. At March 31, 2021, we had outstanding letters of credit totaling $0.8 million, which are primarily used as security deposits for our office facilities. As of March 31, 2021, the unused borrowing capacity under the revolving credit facility was $334.2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93"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pay interest on the outstanding principal amount at a rate of one month LIBOR plus 1.97% per annum. The obligations under the promissory note are secured pursuant to a Loan and Aircraft Security Agreement with Banc of America Leasing &amp; Capital, LLC, which grants the lender a first priority security interest in the aircraft. At March 31, 2021, the outstanding principal amount of the promissory note was $3.2 million, and the aircraft had a carrying amount of $4.3 million. At December 31, 2020, the outstanding principal amount of the promissory note was $3.3 million, and the aircraft had a carrying amount of $4.4 million.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Charges</w:t>
      </w:r>
    </w:p>
    <w:p>
      <w:pPr>
        <w:spacing w:after="0" w:line="19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Restructuring charges for the three months ended March 31, 2021 were $0.6 million compared to $1.6 million, for the three months ended March 31, 2020.</w:t>
      </w:r>
    </w:p>
    <w:p>
      <w:pPr>
        <w:spacing w:after="0" w:line="14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$0.6 million restructuring charge recognized in the first quarter of 2021 primarily related to rent and related expenses, net of sublease income, and accelerated depreciation on furniture and fixtures for vacated office spaces.</w:t>
      </w:r>
    </w:p>
    <w:p>
      <w:pPr>
        <w:spacing w:after="0" w:line="14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$1.6 million restructuring charge recognized in the first quarter of 2020 included a $1.2 million accrual for the termination of a third-party advisor agreement, $ 0.3 million related to workforce reductions to better align resources with market demand, and $0.1 million related to workforce reductions in our corporate operations.</w:t>
      </w:r>
    </w:p>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the fourth quarter of 2020, we announced a restructuring plan to reduce operating costs to address the impact of the COVID-19 pandemic on our business. The restructuring plan, which was substantially complete in the fourth quarter of 2020, provided for a reduction in certain leased office spaces and a reduction in workforce.</w:t>
      </w:r>
    </w:p>
    <w:p>
      <w:pPr>
        <w:spacing w:after="0" w:line="14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three months ended March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64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Employee Costs</w:t>
            </w: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Office Space</w:t>
            </w:r>
          </w:p>
        </w:tc>
        <w:tc>
          <w:tcPr>
            <w:tcW w:w="280" w:type="dxa"/>
            <w:vAlign w:val="bottom"/>
          </w:tcPr>
          <w:p>
            <w:pPr>
              <w:spacing w:after="0"/>
              <w:rPr>
                <w:sz w:val="17"/>
                <w:szCs w:val="17"/>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17"/>
                <w:szCs w:val="17"/>
                <w:color w:val="auto"/>
              </w:rPr>
            </w:pPr>
          </w:p>
        </w:tc>
        <w:tc>
          <w:tcPr>
            <w:tcW w:w="11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164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Reductions</w:t>
            </w:r>
          </w:p>
        </w:tc>
        <w:tc>
          <w:tcPr>
            <w:tcW w:w="2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29"/>
        </w:trPr>
        <w:tc>
          <w:tcPr>
            <w:tcW w:w="4960" w:type="dxa"/>
            <w:vAlign w:val="bottom"/>
          </w:tcPr>
          <w:p>
            <w:pPr>
              <w:ind w:left="220"/>
              <w:spacing w:after="0"/>
              <w:rPr>
                <w:sz w:val="20"/>
                <w:szCs w:val="20"/>
                <w:color w:val="auto"/>
              </w:rPr>
            </w:pPr>
            <w:r>
              <w:rPr>
                <w:rFonts w:ascii="Arial" w:cs="Arial" w:eastAsia="Arial" w:hAnsi="Arial"/>
                <w:sz w:val="18"/>
                <w:szCs w:val="18"/>
                <w:color w:val="auto"/>
              </w:rPr>
              <w:t>Additions</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30"/>
        </w:trPr>
        <w:tc>
          <w:tcPr>
            <w:tcW w:w="4960" w:type="dxa"/>
            <w:vAlign w:val="bottom"/>
          </w:tcPr>
          <w:p>
            <w:pPr>
              <w:ind w:left="220"/>
              <w:spacing w:after="0"/>
              <w:rPr>
                <w:sz w:val="20"/>
                <w:szCs w:val="20"/>
                <w:color w:val="auto"/>
              </w:rPr>
            </w:pPr>
            <w:r>
              <w:rPr>
                <w:rFonts w:ascii="Arial" w:cs="Arial" w:eastAsia="Arial" w:hAnsi="Arial"/>
                <w:sz w:val="18"/>
                <w:szCs w:val="18"/>
                <w:color w:val="auto"/>
              </w:rPr>
              <w:t>Adjustments</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restructuring charge liability related to employee costs at March 31, 2021 is expected to be paid in the next 12 months and is included as a component of accrued payroll and related benefits. The employee related payments made in the first quarter of 2021 primarily related to the fourth quarter 2020 restructuring plan. The restructuring charge liability related to office space reductions at March 31, 2021 is included as a component of accrued expenses and other current liabilities. The $0.7 million other restructuring charge liability at March 31, 2021 is related to the termination of a third-party advisor agreement and is expected to be paid over the next 22 months and is included as a component of accrued expenses and other current liabilities and deferred compensation and other liabilities.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 and Hedging Activity</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 month LIBOR and we pay to the counterparty a fixed rate of 1.900%.</w:t>
      </w:r>
    </w:p>
    <w:p>
      <w:pPr>
        <w:spacing w:after="0" w:line="1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January 30, 2020, we entered into a forward interest rate swap agreement effective December 31, 2019 and ending December 31, 2024, with a notional amount of $50.0 million. We entered into this derivative instrument to further hedge against the interest rate risks of our variable -rate borrowings. Under the terms of the interest rate swap agreement, we receive from the counterparty interest on the notional amount based on one month LIBOR and we pay to the counterparty a fixed rate of 1.500%.</w:t>
      </w:r>
    </w:p>
    <w:p>
      <w:pPr>
        <w:spacing w:after="0" w:line="1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March 16, 2020, we entered into a forward interest rate swap agreement effective February 28, 2020 and ending February 28, 2025, with a notional amount of $100.0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0.885%.</w:t>
      </w:r>
    </w:p>
    <w:p>
      <w:pPr>
        <w:spacing w:after="0" w:line="15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recognize all derivative instruments as either assets or liabilities at fair value on the balance sheet. We have designated these derivative instruments as cash flow hedges. Therefore, changes in the fair value of the derivative instruments are recorded to other comprehensive income (“OCI”) to the extent effective and reclassified into interest expense upon settlement. As of March 31, 2021, it was anticipated that $1.7 million of the losses, net of tax, currently recorded in accumulated other comprehensive income will be reclassified into earnings within the next 12 months.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table below sets forth additional information relating to the interest rate swaps designated as a cash flow hedging instrument as of March 31, 2021 and December 31,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Fair Value (Derivative Asset and Liability)</w:t>
            </w:r>
          </w:p>
        </w:tc>
        <w:tc>
          <w:tcPr>
            <w:tcW w:w="0" w:type="dxa"/>
            <w:vAlign w:val="bottom"/>
          </w:tcPr>
          <w:p>
            <w:pPr>
              <w:spacing w:after="0"/>
              <w:rPr>
                <w:sz w:val="1"/>
                <w:szCs w:val="1"/>
                <w:color w:val="auto"/>
              </w:rPr>
            </w:pPr>
          </w:p>
        </w:tc>
      </w:tr>
      <w:tr>
        <w:trPr>
          <w:trHeight w:val="169"/>
        </w:trPr>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Sheet Location</w:t>
            </w:r>
          </w:p>
        </w:tc>
        <w:tc>
          <w:tcPr>
            <w:tcW w:w="100" w:type="dxa"/>
            <w:vAlign w:val="bottom"/>
            <w:vMerge w:val="restart"/>
          </w:tcPr>
          <w:p>
            <w:pPr>
              <w:spacing w:after="0"/>
              <w:rPr>
                <w:sz w:val="14"/>
                <w:szCs w:val="14"/>
                <w:color w:val="auto"/>
              </w:rPr>
            </w:pPr>
          </w:p>
        </w:tc>
        <w:tc>
          <w:tcPr>
            <w:tcW w:w="15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March 31,</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jc w:val="right"/>
              <w:ind w:right="410"/>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5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30"/>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Deferred compensation and other liabilities</w:t>
            </w:r>
          </w:p>
        </w:tc>
        <w:tc>
          <w:tcPr>
            <w:tcW w:w="1520" w:type="dxa"/>
            <w:vAlign w:val="bottom"/>
          </w:tcPr>
          <w:p>
            <w:pPr>
              <w:jc w:val="right"/>
              <w:ind w:right="13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on our consolidated balance sheet.</w:t>
      </w:r>
    </w:p>
    <w:p>
      <w:pPr>
        <w:spacing w:after="0" w:line="14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do not use derivative instruments for trading or other speculative purposes. Refer to Note 11 “Other Comprehensive Income (Loss)” for additional information on our derivative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240"/>
          </w:cols>
          <w:pgMar w:left="320" w:top="140" w:right="339" w:bottom="1440" w:gutter="0" w:footer="0" w:header="0"/>
        </w:sect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1 Inputs</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2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3 Inputs</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50"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Unobservable inputs for the asset or liability, and include situations in which there is little, if any, market activity for the asset or liability.</w:t>
      </w:r>
    </w:p>
    <w:p>
      <w:pPr>
        <w:spacing w:after="0" w:line="200" w:lineRule="exact"/>
        <w:rPr>
          <w:sz w:val="20"/>
          <w:szCs w:val="20"/>
          <w:color w:val="auto"/>
        </w:rPr>
      </w:pPr>
    </w:p>
    <w:p>
      <w:pPr>
        <w:sectPr>
          <w:pgSz w:w="11900" w:h="16838" w:orient="portrait"/>
          <w:cols w:equalWidth="0" w:num="2">
            <w:col w:w="1820" w:space="720"/>
            <w:col w:w="8700"/>
          </w:cols>
          <w:pgMar w:left="320" w:top="140" w:right="33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March 31, 2021 and December 31,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9"/>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2021</w:t>
            </w: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debt investment</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58,036</w:t>
            </w:r>
          </w:p>
        </w:tc>
      </w:tr>
      <w:tr>
        <w:trPr>
          <w:trHeight w:val="22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compensation assets</w:t>
            </w: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34,881</w:t>
            </w:r>
          </w:p>
        </w:tc>
      </w:tr>
      <w:tr>
        <w:trPr>
          <w:trHeight w:val="223"/>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92,917</w:t>
            </w:r>
          </w:p>
        </w:tc>
      </w:tr>
      <w:tr>
        <w:trPr>
          <w:trHeight w:val="209"/>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r>
      <w:tr>
        <w:trPr>
          <w:trHeight w:val="23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 for business acquisition</w:t>
            </w: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r>
      <w:tr>
        <w:trPr>
          <w:trHeight w:val="223"/>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w:t>
            </w:r>
          </w:p>
        </w:tc>
      </w:tr>
      <w:tr>
        <w:trPr>
          <w:trHeight w:val="21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December 31, 2020</w:t>
            </w: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Convertible debt investment</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64,364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64,364</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assets</w:t>
            </w: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34,056</w:t>
            </w: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34,056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64,364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98,420</w:t>
            </w:r>
          </w:p>
        </w:tc>
      </w:tr>
      <w:tr>
        <w:trPr>
          <w:trHeight w:val="209"/>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5,397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5,397</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for business acquisition</w:t>
            </w: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5,397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7,167</w:t>
            </w:r>
          </w:p>
        </w:tc>
      </w:tr>
    </w:tbl>
    <w:p>
      <w:pPr>
        <w:spacing w:after="0" w:line="143"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The fair values of our interest rate swaps were derived using estimates to settle the interest rate swap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based on the net present value of expected future cash flows on each leg of the swaps utilizing market-based inputs and a discount rate reflecting the risks involved.</w:t>
      </w:r>
    </w:p>
    <w:p>
      <w:pPr>
        <w:spacing w:after="0" w:line="12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In 2014 and 2015, we invested $27.9 million, in the form of zero coupon convertible debt (the "initial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notes"), in Shorelight Holdings, LLC (“Shorelight”), the parent company of Shorelight, a U.S.-based company that partners with leading nonprofit universities to increase access to and retention of international students, boost institutional growth, and enhance an institution’s global footprint. In the first quarter of 2020, we invested an additional $13.0 million, in the form of 1.69% convertible debt with a</w:t>
      </w:r>
    </w:p>
    <w:p>
      <w:pPr>
        <w:spacing w:after="0" w:line="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senior liquidation preference to the initial convertible notes (the "additional convertible note") and amended our initial convertible notes to extend the maturity date to January 17, 2024, which coincides with the maturity date of the additional convertible note.</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w:t>
      </w:r>
    </w:p>
    <w:p>
      <w:pPr>
        <w:spacing w:after="0" w:line="15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investment is carried at fair value with unrealized holding gains and losses excluded from earnings and reported in other comprehensive income. We estimate the fair value of our investment using a scenario-based approach in the form of a hybrid analysis that consists of a Monte Carlo simulation model and an expected return analysis. The conclusion of value for our investment is based on the probability weighted assessment of both scenarios. The hybrid analysis utilizes certain assumptions including the assumed holding period through the maturity date of January 17, 2024, the applicable waterfall distribution at the end of the expected holding period based on the rights and privileges of the various instruments, cash flow projections discounted at the risk-adjusted rate of 22.5%, and the concluded equity volatility of 45.0%,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investments on our consolidated balance sheets.</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three months ended March 31, 2021.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Convertible Debt Investment</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64,364</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of convertible debt investment</w:t>
            </w: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(6,328)</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58,036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Deferred compensation assets: </w:t>
      </w:r>
      <w:r>
        <w:rPr>
          <w:rFonts w:ascii="Arial" w:cs="Arial" w:eastAsia="Arial" w:hAnsi="Arial"/>
          <w:sz w:val="18"/>
          <w:szCs w:val="18"/>
          <w:color w:val="auto"/>
        </w:rPr>
        <w:t>We have a non-qualified deferred compensation plan (the "Plan") for the members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a select 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on our consolidated balance sheets. Realized and unrealized gains (losses) from the deferred compensation assets are recorded to other income (expense), net in our consolidated statements of operations.</w:t>
      </w:r>
    </w:p>
    <w:p>
      <w:pPr>
        <w:spacing w:after="0" w:line="1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Contingent consideration for business acquisition: </w:t>
      </w:r>
      <w:r>
        <w:rPr>
          <w:rFonts w:ascii="Arial" w:cs="Arial" w:eastAsia="Arial" w:hAnsi="Arial"/>
          <w:sz w:val="18"/>
          <w:szCs w:val="18"/>
          <w:color w:val="auto"/>
        </w:rPr>
        <w:t>We estimate the fair value of acquisition-related contingent consideration using either a</w:t>
      </w:r>
      <w:r>
        <w:rPr>
          <w:rFonts w:ascii="Arial" w:cs="Arial" w:eastAsia="Arial" w:hAnsi="Arial"/>
          <w:sz w:val="18"/>
          <w:szCs w:val="18"/>
          <w:i w:val="1"/>
          <w:iCs w:val="1"/>
          <w:color w:val="auto"/>
        </w:rPr>
        <w:t xml:space="preserve"> </w:t>
      </w:r>
      <w:r>
        <w:rPr>
          <w:rFonts w:ascii="Arial" w:cs="Arial" w:eastAsia="Arial" w:hAnsi="Arial"/>
          <w:sz w:val="18"/>
          <w:szCs w:val="18"/>
          <w:color w:val="auto"/>
        </w:rPr>
        <w:t>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a discount rate which typically reflects a risk-free rate, and was 2.41% as of March 31, 2021 and December 31, 2020. The fair value of the contingent consideration is reassessed quarterly based on assumptions used in our latest projections and input provided by practice leaders and management. Any change in the fair value estimate is recorded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w:t>
      </w:r>
    </w:p>
    <w:p>
      <w:pPr>
        <w:spacing w:after="0" w:line="14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table below sets forth the changes in the balance of the contingent consideration for business acquisitions for the three months ended March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tcPr>
          <w:p>
            <w:pPr>
              <w:jc w:val="right"/>
              <w:ind w:right="210"/>
              <w:spacing w:after="0"/>
              <w:rPr>
                <w:sz w:val="20"/>
                <w:szCs w:val="20"/>
                <w:color w:val="auto"/>
              </w:rPr>
            </w:pPr>
            <w:r>
              <w:rPr>
                <w:rFonts w:ascii="Arial" w:cs="Arial" w:eastAsia="Arial" w:hAnsi="Arial"/>
                <w:sz w:val="18"/>
                <w:szCs w:val="18"/>
                <w:b w:val="1"/>
                <w:bCs w:val="1"/>
                <w:color w:val="auto"/>
              </w:rPr>
              <w:t>Contingent Consideration for</w:t>
            </w:r>
          </w:p>
        </w:tc>
      </w:tr>
      <w:tr>
        <w:trPr>
          <w:trHeight w:val="230"/>
        </w:trPr>
        <w:tc>
          <w:tcPr>
            <w:tcW w:w="8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Business Acquisitions</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20" w:type="dxa"/>
            <w:vAlign w:val="bottom"/>
            <w:shd w:val="clear" w:color="auto" w:fill="CCEEFF"/>
          </w:tcPr>
          <w:p>
            <w:pPr>
              <w:spacing w:after="0"/>
              <w:rPr>
                <w:sz w:val="19"/>
                <w:szCs w:val="19"/>
                <w:color w:val="auto"/>
              </w:rPr>
            </w:pP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Remeasurement of contingent consideration for business acquisitions</w:t>
            </w:r>
          </w:p>
        </w:tc>
        <w:tc>
          <w:tcPr>
            <w:tcW w:w="2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are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Investment</w:t>
      </w:r>
    </w:p>
    <w:p>
      <w:pPr>
        <w:spacing w:after="0" w:line="18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the fourth quarter of 2019, we invested $5.0 million, in the form of preferred stock, in Medically Home Group, Inc. ("Medically Home"), a healthcare technology-enabled services company. To determine the appropriate accounting treatment for our investment, we performed a VIE analysis and concluded that Medically Home does not meet the definition of a VIE. We also reviewed the characteristics of our investment to confirm that the preferred stock is not in-substance common stock that would warrant equity method accounting. After we reviewed all of the terms of the investment, we concluded the appropriate accounting treatment for our investment in Medically Home to be that of an equity security with no readily determinable fair value. We elected to apply the measurement alternative at the time of the purchase and will continue to do so until the investment does not qualify to be so measured. Under the measurement alternative, the investment is carried at cost minus impairment, if any, plus or minus changes resulting from observable price changes in orderly transactions for the identical or similar investment in Medically Home. On a quarterly basis, we review the information available to determine whether an orderly and observable transaction for the same or similar equity instrument occurred, and remeasure the fair value of the preferred stock using such identified transactions, with changes in the fair value recorded in consolidated statement of operations. As of March 31, 2021, the carrying amount of our preferred stock investment was $6.7 million.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89"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7 “Financing Arrangements” for additional information on our senior secured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 due 2024</w:t>
      </w:r>
    </w:p>
    <w:p>
      <w:pPr>
        <w:spacing w:after="0" w:line="18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carrying value of our promissory note due 2024 is stated at cost. Our carrying value approximates fair value, using Level 2 inputs, as the promissory note bears interest at rates based on current market rates as set forth in the terms of the promissory note. Refer to Note 7 “Financing Arrangements” for additional information on our promissory note due 2024.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Other Financial Instruments</w:t>
      </w:r>
    </w:p>
    <w:p>
      <w:pPr>
        <w:spacing w:after="0" w:line="18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Comprehensive Income (Loss)</w:t>
      </w:r>
    </w:p>
    <w:p>
      <w:pPr>
        <w:spacing w:after="0" w:line="193"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The table below sets forth the components of other comprehensive income (loss), net of tax, for the three months ended March 31,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6"/>
          </w:tcPr>
          <w:p>
            <w:pPr>
              <w:jc w:val="center"/>
              <w:ind w:left="510"/>
              <w:spacing w:after="0"/>
              <w:rPr>
                <w:sz w:val="20"/>
                <w:szCs w:val="20"/>
                <w:color w:val="auto"/>
              </w:rPr>
            </w:pPr>
            <w:r>
              <w:rPr>
                <w:rFonts w:ascii="Arial" w:cs="Arial" w:eastAsia="Arial" w:hAnsi="Arial"/>
                <w:sz w:val="18"/>
                <w:szCs w:val="18"/>
                <w:b w:val="1"/>
                <w:bCs w:val="1"/>
                <w:color w:val="auto"/>
                <w:w w:val="99"/>
              </w:rPr>
              <w:t>Three Months Ended</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w w:val="99"/>
              </w:rPr>
              <w:t>Three Months Ended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March 31, 2021</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March 31, 2020</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Before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6"/>
              </w:rPr>
              <w:t>Tax</w:t>
            </w:r>
          </w:p>
        </w:tc>
        <w:tc>
          <w:tcPr>
            <w:tcW w:w="28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of</w:t>
            </w:r>
          </w:p>
        </w:tc>
        <w:tc>
          <w:tcPr>
            <w:tcW w:w="180" w:type="dxa"/>
            <w:vAlign w:val="bottom"/>
          </w:tcPr>
          <w:p>
            <w:pPr>
              <w:spacing w:after="0"/>
              <w:rPr>
                <w:sz w:val="14"/>
                <w:szCs w:val="14"/>
                <w:color w:val="auto"/>
              </w:rPr>
            </w:pPr>
          </w:p>
        </w:tc>
        <w:tc>
          <w:tcPr>
            <w:tcW w:w="8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Before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6"/>
              </w:rPr>
              <w:t>Tax</w:t>
            </w:r>
          </w:p>
        </w:tc>
        <w:tc>
          <w:tcPr>
            <w:tcW w:w="260" w:type="dxa"/>
            <w:vAlign w:val="bottom"/>
          </w:tcPr>
          <w:p>
            <w:pPr>
              <w:spacing w:after="0"/>
              <w:rPr>
                <w:sz w:val="14"/>
                <w:szCs w:val="14"/>
                <w:color w:val="auto"/>
              </w:rPr>
            </w:pPr>
          </w:p>
        </w:tc>
        <w:tc>
          <w:tcPr>
            <w:tcW w:w="8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7"/>
              </w:rPr>
              <w:t>Net of</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(Expense)</w:t>
            </w:r>
          </w:p>
        </w:tc>
        <w:tc>
          <w:tcPr>
            <w:tcW w:w="2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(Expense)</w:t>
            </w:r>
          </w:p>
        </w:tc>
        <w:tc>
          <w:tcPr>
            <w:tcW w:w="2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Taxes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Benefit</w:t>
            </w:r>
          </w:p>
        </w:tc>
        <w:tc>
          <w:tcPr>
            <w:tcW w:w="28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Taxes</w:t>
            </w:r>
          </w:p>
        </w:tc>
        <w:tc>
          <w:tcPr>
            <w:tcW w:w="180" w:type="dxa"/>
            <w:vAlign w:val="bottom"/>
          </w:tcPr>
          <w:p>
            <w:pPr>
              <w:spacing w:after="0"/>
              <w:rPr>
                <w:sz w:val="19"/>
                <w:szCs w:val="19"/>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Taxes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Benefit</w:t>
            </w:r>
          </w:p>
        </w:tc>
        <w:tc>
          <w:tcPr>
            <w:tcW w:w="260" w:type="dxa"/>
            <w:vAlign w:val="bottom"/>
          </w:tcPr>
          <w:p>
            <w:pPr>
              <w:spacing w:after="0"/>
              <w:rPr>
                <w:sz w:val="19"/>
                <w:szCs w:val="19"/>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Taxes</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investment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Unrealized gain (loss) on cash flow hedges: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 in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Reclassification adjustments into earnings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unrealized gain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The before tax amounts reclassified from accumulated other comprehensive income related to our cash flow hedges are recorded to interest expense, net of interest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net of tax, includes the following components: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Foreign Currency</w:t>
            </w:r>
          </w:p>
        </w:tc>
        <w:tc>
          <w:tcPr>
            <w:tcW w:w="20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Available-for-Sale</w:t>
            </w:r>
          </w:p>
        </w:tc>
        <w:tc>
          <w:tcPr>
            <w:tcW w:w="180" w:type="dxa"/>
            <w:vAlign w:val="bottom"/>
          </w:tcPr>
          <w:p>
            <w:pPr>
              <w:spacing w:after="0"/>
              <w:rPr>
                <w:sz w:val="18"/>
                <w:szCs w:val="18"/>
                <w:color w:val="auto"/>
              </w:rPr>
            </w:pPr>
          </w:p>
        </w:tc>
        <w:tc>
          <w:tcPr>
            <w:tcW w:w="19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Cash Flow Hedges</w:t>
            </w:r>
          </w:p>
        </w:tc>
        <w:tc>
          <w:tcPr>
            <w:tcW w:w="460" w:type="dxa"/>
            <w:vAlign w:val="bottom"/>
          </w:tcPr>
          <w:p>
            <w:pPr>
              <w:spacing w:after="0"/>
              <w:rPr>
                <w:sz w:val="18"/>
                <w:szCs w:val="18"/>
                <w:color w:val="auto"/>
              </w:rPr>
            </w:pPr>
          </w:p>
        </w:tc>
        <w:tc>
          <w:tcPr>
            <w:tcW w:w="156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Translation</w:t>
            </w:r>
          </w:p>
        </w:tc>
        <w:tc>
          <w:tcPr>
            <w:tcW w:w="200" w:type="dxa"/>
            <w:vAlign w:val="bottom"/>
          </w:tcPr>
          <w:p>
            <w:pPr>
              <w:spacing w:after="0"/>
              <w:rPr>
                <w:sz w:val="19"/>
                <w:szCs w:val="19"/>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center"/>
              <w:ind w:left="1290"/>
              <w:spacing w:after="0"/>
              <w:rPr>
                <w:sz w:val="20"/>
                <w:szCs w:val="20"/>
                <w:color w:val="auto"/>
              </w:rPr>
            </w:pPr>
            <w:r>
              <w:rPr>
                <w:rFonts w:ascii="Arial" w:cs="Arial" w:eastAsia="Arial" w:hAnsi="Arial"/>
                <w:sz w:val="18"/>
                <w:szCs w:val="18"/>
                <w:color w:val="auto"/>
                <w:w w:val="99"/>
              </w:rPr>
              <w:t>(218)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center"/>
              <w:ind w:left="1130"/>
              <w:spacing w:after="0"/>
              <w:rPr>
                <w:sz w:val="20"/>
                <w:szCs w:val="20"/>
                <w:color w:val="auto"/>
              </w:rPr>
            </w:pPr>
            <w:r>
              <w:rPr>
                <w:rFonts w:ascii="Arial" w:cs="Arial" w:eastAsia="Arial" w:hAnsi="Arial"/>
                <w:sz w:val="18"/>
                <w:szCs w:val="18"/>
                <w:color w:val="auto"/>
              </w:rPr>
              <w:t>(3,926)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13,061</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period change</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left="1290"/>
              <w:spacing w:after="0"/>
              <w:rPr>
                <w:sz w:val="20"/>
                <w:szCs w:val="20"/>
                <w:color w:val="auto"/>
              </w:rPr>
            </w:pPr>
            <w:r>
              <w:rPr>
                <w:rFonts w:ascii="Arial" w:cs="Arial" w:eastAsia="Arial" w:hAnsi="Arial"/>
                <w:sz w:val="18"/>
                <w:szCs w:val="18"/>
                <w:color w:val="auto"/>
                <w:w w:val="99"/>
              </w:rPr>
              <w:t>400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left="1150"/>
              <w:spacing w:after="0"/>
              <w:rPr>
                <w:sz w:val="20"/>
                <w:szCs w:val="20"/>
                <w:color w:val="auto"/>
              </w:rPr>
            </w:pPr>
            <w:r>
              <w:rPr>
                <w:rFonts w:ascii="Arial" w:cs="Arial" w:eastAsia="Arial" w:hAnsi="Arial"/>
                <w:sz w:val="18"/>
                <w:szCs w:val="18"/>
                <w:color w:val="auto"/>
                <w:w w:val="97"/>
              </w:rPr>
              <w:t>1,429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center"/>
              <w:ind w:left="1290"/>
              <w:spacing w:after="0"/>
              <w:rPr>
                <w:sz w:val="20"/>
                <w:szCs w:val="20"/>
                <w:color w:val="auto"/>
              </w:rPr>
            </w:pPr>
            <w:r>
              <w:rPr>
                <w:rFonts w:ascii="Arial" w:cs="Arial" w:eastAsia="Arial" w:hAnsi="Arial"/>
                <w:sz w:val="18"/>
                <w:szCs w:val="18"/>
                <w:color w:val="auto"/>
                <w:w w:val="99"/>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center"/>
              <w:ind w:left="1130"/>
              <w:spacing w:after="0"/>
              <w:rPr>
                <w:sz w:val="20"/>
                <w:szCs w:val="20"/>
                <w:color w:val="auto"/>
              </w:rPr>
            </w:pPr>
            <w:r>
              <w:rPr>
                <w:rFonts w:ascii="Arial" w:cs="Arial" w:eastAsia="Arial" w:hAnsi="Arial"/>
                <w:sz w:val="18"/>
                <w:szCs w:val="18"/>
                <w:color w:val="auto"/>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For the three months ended March 31, 2021, our effective tax rate was 22.1% as we recognized income tax expense from continuing operations of $1.5 million on income from continuing operations of $6.9 million. The effective tax rate of 22.1% was more favorable than the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statutory rate, inclusive of state income taxes, of 26.6%, primarily due to a discrete tax benefit for share-based compensation awards that vested during the first quarter of 2021. This favorable item was partially offset by certain nondeductible expense items.</w:t>
      </w:r>
    </w:p>
    <w:p>
      <w:pPr>
        <w:spacing w:after="0" w:line="14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For the three months ended March 31, 2020, our effective tax rate was 21.0% as we recognized an income tax benefit from continuing operations of $11.2 million on a loss from continuing operations of $53.5 million. The effective tax rate of 21.0% was less favorable than the statutory rate, inclusive of state income taxes, of 26.0% primarily due to certain nondeductible expense items, non-deductible losses on our investments used to fund our deferred compensation liability, and the nondeductible portion of the goodwill impairment charges recorded during the first quarter of 2020. These unfavorable items were partially offset by a discrete tax benefit for share-based compensation awards that vested during the quarter and the discrete tax benefit for the remeasurement of a portion of our income tax receivable as a result of the enactment of the Coronavirus Aid, Relief, and Economic Security Act (“CARES Act”) in the first quarter of 2020.</w:t>
      </w:r>
    </w:p>
    <w:p>
      <w:pPr>
        <w:spacing w:after="0" w:line="14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CARES Act, which was signed into law on March 27, 2020, is an approximately $2 trillion emergency economic stimulus package in response to the COVID-19 outbreak, which among other items, includes income tax provisions relating to net operating loss carryback periods and technical corrections to tax depreciation methods for qualified improvement property. During 2020, as a result of the CARES Act, we recognized a $1.5 million tax benefit related to the remeasurement of a portion of our income tax receivable for the federal net operating loss incurred in 2018 and the expected federal net operating loss in 2020 that will be carried back to prior year income, both for a refund at the higher, prior year tax rate.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Contingencies and Guarantees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Oaktree</w:t>
      </w:r>
    </w:p>
    <w:p>
      <w:pPr>
        <w:spacing w:after="0" w:line="18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November 9, 2018, Huron was engaged by Oaktree Medical Centre LLC, a management services organization (“Oaktree”) to perform interim management and financial advisory services. As part of the services, a Huron employee was appointed by Oaktree’s board of directors to serve as Chief Restructuring Officer of Oaktree. The engagement letter through which Oaktree retained Huron’s services states that all disputes or claims are subject to binding arbitration, disclaims special, consequential, incidental or exemplary damages or loss and caps liability to the fees paid for the portion of the engagement giving rise to any liability. On September 19, 2019, Oaktree filed for Chapter 7 liquidation in the U.S. Bankruptcy Court for the Western District of North Carolina, with the case subsequently transferred to the District of South Carolina. As a result of the bankruptcy filing, a Chapter 7 trustee was appointed to oversee the bankruptcy estate, at which time Huron’s services for Oaktree wound down.</w:t>
      </w:r>
    </w:p>
    <w:p>
      <w:pPr>
        <w:spacing w:after="0" w:line="15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April 2021, Trustee’s counsel communicated in writing to Huron its intent to pursue various claims against Huron, among others, on behalf of the bankruptcy estate related to the services carried out by Huron during the engagement. The allegations suggest that Huron did not develop and implement a Chapter 11 restructuring plan on a timely basis and that its failure to do so led to significant damages. We believe the Trustee’s allegations with respect to Huron are without merit and will vigorously defend ourselves should any claim arising out of these alleged facts and circumstances be asserted against us by the Trustee.</w:t>
      </w:r>
    </w:p>
    <w:p>
      <w:pPr>
        <w:spacing w:after="0" w:line="15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9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Guarantees in the form of letters of credit totaling $0.8 million and $1.6 million were outstanding at March 31, 2021 and December 31, 2020, respectively, primarily to support certain office lease obligations.</w:t>
      </w:r>
    </w:p>
    <w:p>
      <w:pPr>
        <w:spacing w:after="0" w:line="144"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March 31, 2021 and December 31, 2020, the total estimated fair value of our outstanding contingent consideration liability was $1.8 million.</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Business Advisory, and Education.</w:t>
      </w:r>
    </w:p>
    <w:p>
      <w:pPr>
        <w:spacing w:after="0" w:line="1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Healthcare</w:t>
      </w:r>
    </w:p>
    <w:p>
      <w:pPr>
        <w:spacing w:after="0" w:line="193" w:lineRule="exact"/>
        <w:rPr>
          <w:rFonts w:ascii="Arial" w:cs="Arial" w:eastAsia="Arial" w:hAnsi="Arial"/>
          <w:sz w:val="18"/>
          <w:szCs w:val="18"/>
          <w:b w:val="1"/>
          <w:bCs w:val="1"/>
          <w:color w:val="auto"/>
        </w:rPr>
      </w:pPr>
    </w:p>
    <w:p>
      <w:pPr>
        <w:ind w:left="660" w:right="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serves national and regional hospitals, integrated health systems, academic medical centers, community hospitals, and medical groups. Our Healthcare professionals have a depth of expertise in business operations, including financial and operational improvement, care transformation, and revenue cycle managed services; organizational transformation; and digital, technology and analytic solutions. Most healthcare organizations are focused on changing the way care is delivered; establishing a sustainable business model centered around optimal cost structures, reimbursement models and financial strategies; and evolving their digital, technology and analytic capabilities. Our solutions help clients adapt to this rapidly changing healthcare environment to become a more agile, efficient and consumer-centric organization. We use our deep industry expertise to help clients solve a diverse set of business issues, including, but not limited to, optimizing financial and operational performance, improving care delivery and clinical outcomes, increasing physician, patient and employee satisfaction, evolving organizational culture, and maximizing return on technology investments.</w:t>
      </w:r>
    </w:p>
    <w:p>
      <w:pPr>
        <w:spacing w:after="0" w:line="135"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Advisory</w:t>
      </w:r>
    </w:p>
    <w:p>
      <w:pPr>
        <w:spacing w:after="0" w:line="193" w:lineRule="exact"/>
        <w:rPr>
          <w:rFonts w:ascii="Arial" w:cs="Arial" w:eastAsia="Arial" w:hAnsi="Arial"/>
          <w:sz w:val="18"/>
          <w:szCs w:val="18"/>
          <w:b w:val="1"/>
          <w:bCs w:val="1"/>
          <w:color w:val="auto"/>
        </w:rPr>
      </w:pPr>
    </w:p>
    <w:p>
      <w:pPr>
        <w:ind w:left="660" w:right="6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Business Advisory segment works with C-suite executives, boards, and business unit and functional leadership across a diverse set of organizations, including healthy, well-capitalized companies to organizations in transition, and across a broad range of industries, including life sciences, financial services, healthcare, education, energy and utilities, industrials and manufacturing, and the public sector. Our Business Advisory professionals have deep industry, functional and technical expertise that they put forward when delivering our digital, technology and analytics, strategy and innovation and corporate finance and restructuring services. In today’s disruptive environment, organizations must reimagine their historical strategies and financial and operating models to sustain and advance their competitive advantage. Organizations also recognize the need to adopt technologies, automation and analytics to improve their operations and compete in a rapidly changing environment. Our experts help organizations across industries with a variety of business challenges, including, but not limited to, embedding technology and analytics throughout their internal and customer-facing operations, developing insights into the needs of tomorrow’s customers in order to evolve their enterprise and business unit strategies, bringing new products to market, and managing through stressed and distressed situations to create a viable path forward for stakeholders.</w:t>
      </w:r>
    </w:p>
    <w:p>
      <w:pPr>
        <w:spacing w:after="0" w:line="134"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93" w:lineRule="exact"/>
        <w:rPr>
          <w:rFonts w:ascii="Arial" w:cs="Arial" w:eastAsia="Arial" w:hAnsi="Arial"/>
          <w:sz w:val="18"/>
          <w:szCs w:val="18"/>
          <w:color w:val="auto"/>
        </w:rPr>
      </w:pPr>
    </w:p>
    <w:p>
      <w:pPr>
        <w:ind w:left="660"/>
        <w:spacing w:after="0" w:line="251" w:lineRule="auto"/>
        <w:rPr>
          <w:rFonts w:ascii="Arial" w:cs="Arial" w:eastAsia="Arial" w:hAnsi="Arial"/>
          <w:sz w:val="18"/>
          <w:szCs w:val="18"/>
          <w:color w:val="auto"/>
        </w:rPr>
      </w:pPr>
      <w:r>
        <w:rPr>
          <w:rFonts w:ascii="Arial" w:cs="Arial" w:eastAsia="Arial" w:hAnsi="Arial"/>
          <w:sz w:val="18"/>
          <w:szCs w:val="18"/>
          <w:color w:val="auto"/>
        </w:rPr>
        <w:t>Our Education segment serves public and private colleges and universities, academic medical centers, research institutes and other not-for-profit organizations. Our Education professionals have a depth of expertise in strategy and innovation; business operations, including the research enterprise and student lifecycle; digital, technology and analytic solutions; and organizational transformation. Our Education segment clients are increasingly faced with financial and/or demographic challenges as well as increased competition. To remain competitive, organizations must challenge traditional operating and financial models and reimagine strategic, operational and research-centered opportunities that advance their mission while strengthening their business models. We collaborate with clients to address these challenges and ensure they have a sustainable future. We combine our deep industry, functional and technical expertise to help clients solve their most pressing challenges, including, but not limited to, transforming business operations with technology; strengthening research strategies and support services; evolving their organizational strategy; optimizing financial and operational performance; and enhancing the student lifecycle.</w:t>
      </w:r>
    </w:p>
    <w:p>
      <w:pPr>
        <w:spacing w:after="0" w:line="157" w:lineRule="exact"/>
        <w:rPr>
          <w:sz w:val="20"/>
          <w:szCs w:val="20"/>
          <w:color w:val="auto"/>
        </w:rPr>
      </w:pPr>
    </w:p>
    <w:p>
      <w:pPr>
        <w:ind w:right="380"/>
        <w:spacing w:after="0" w:line="252"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expenses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table below sets forth information about our operating segments for the three months ended March 31, 2021 and 2020, along with the items necessary to reconcile the segment information to the totals reported in the accompanying consolidated financial statements.</w:t>
      </w:r>
    </w:p>
    <w:p>
      <w:pPr>
        <w:spacing w:after="0" w:line="247"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Three Months Ended</w:t>
      </w:r>
    </w:p>
    <w:p>
      <w:pPr>
        <w:jc w:val="center"/>
        <w:ind w:left="814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6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0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79,722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95,578</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20,484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24,050</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25.2 %</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Business Advisory: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72,867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64,905</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13,077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9,842</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15.2 %</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50,624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62,136</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8,653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13,116</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21.1 %</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Company: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203,213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222,619</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1,934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19,303</w:t>
            </w:r>
          </w:p>
        </w:tc>
      </w:tr>
      <w:tr>
        <w:trPr>
          <w:trHeight w:val="223"/>
        </w:trPr>
        <w:tc>
          <w:tcPr>
            <w:tcW w:w="8160" w:type="dxa"/>
            <w:vAlign w:val="bottom"/>
          </w:tcPr>
          <w:p>
            <w:pPr>
              <w:ind w:left="220"/>
              <w:spacing w:after="0"/>
              <w:rPr>
                <w:sz w:val="20"/>
                <w:szCs w:val="20"/>
                <w:color w:val="auto"/>
              </w:rPr>
            </w:pPr>
            <w:r>
              <w:rPr>
                <w:rFonts w:ascii="Arial" w:cs="Arial" w:eastAsia="Arial" w:hAnsi="Arial"/>
                <w:sz w:val="18"/>
                <w:szCs w:val="18"/>
                <w:color w:val="auto"/>
              </w:rPr>
              <w:t>Total revenues and reimbursable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205,147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241,922</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42,214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47,008</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28,837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27,146</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and other gains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(150)</w:t>
            </w:r>
          </w:p>
        </w:tc>
      </w:tr>
      <w:tr>
        <w:trPr>
          <w:trHeight w:val="229"/>
        </w:trPr>
        <w:tc>
          <w:tcPr>
            <w:tcW w:w="81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5,095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6,047</w:t>
            </w:r>
          </w:p>
        </w:tc>
      </w:tr>
      <w:tr>
        <w:trPr>
          <w:trHeight w:val="230"/>
        </w:trPr>
        <w:tc>
          <w:tcPr>
            <w:tcW w:w="81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Goodwill impairment charges</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59,816</w:t>
            </w:r>
          </w:p>
        </w:tc>
      </w:tr>
      <w:tr>
        <w:trPr>
          <w:trHeight w:val="230"/>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1,299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7,637</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6,941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(53,488)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right="20" w:hanging="652"/>
        <w:spacing w:after="0" w:line="256" w:lineRule="auto"/>
        <w:tabs>
          <w:tab w:leader="none" w:pos="47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non-cash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following table illustrates the disaggregation of revenues by billing arrangements, employee types, and timing of revenue recognition, including a reconciliation of the disaggregated revenues to revenues from our three operating segments for the three months ended March 31, 2021 and 2020.</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Three Months Ended March 31, 2021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Healthcare</w:t>
            </w:r>
          </w:p>
        </w:tc>
        <w:tc>
          <w:tcPr>
            <w:tcW w:w="140" w:type="dxa"/>
            <w:vAlign w:val="bottom"/>
          </w:tcPr>
          <w:p>
            <w:pPr>
              <w:spacing w:after="0"/>
              <w:rPr>
                <w:sz w:val="14"/>
                <w:szCs w:val="14"/>
                <w:color w:val="auto"/>
              </w:rPr>
            </w:pPr>
          </w:p>
        </w:tc>
        <w:tc>
          <w:tcPr>
            <w:tcW w:w="11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Education</w:t>
            </w:r>
          </w:p>
        </w:tc>
        <w:tc>
          <w:tcPr>
            <w:tcW w:w="320" w:type="dxa"/>
            <w:vAlign w:val="bottom"/>
          </w:tcPr>
          <w:p>
            <w:pPr>
              <w:spacing w:after="0"/>
              <w:rPr>
                <w:sz w:val="14"/>
                <w:szCs w:val="14"/>
                <w:color w:val="auto"/>
              </w:rPr>
            </w:pPr>
          </w:p>
        </w:tc>
        <w:tc>
          <w:tcPr>
            <w:tcW w:w="8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Fixed-fee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48,295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29,881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15,259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93,435</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77,792</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18,078</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13,908</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79,722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72,867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50,624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203,213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3"/>
                <w:szCs w:val="23"/>
                <w:i w:val="1"/>
                <w:iCs w:val="1"/>
                <w:color w:val="auto"/>
                <w:vertAlign w:val="superscript"/>
              </w:rPr>
              <w:t>(1)</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billable consultants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171,944</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31,269</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203,213</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Revenue recognized over time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78,764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72,867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50,624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202,255</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at a point in time</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79,722</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72,867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50,624</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203,213</w:t>
            </w:r>
          </w:p>
        </w:tc>
        <w:tc>
          <w:tcPr>
            <w:tcW w:w="0" w:type="dxa"/>
            <w:vAlign w:val="bottom"/>
          </w:tcPr>
          <w:p>
            <w:pPr>
              <w:spacing w:after="0"/>
              <w:rPr>
                <w:sz w:val="1"/>
                <w:szCs w:val="1"/>
                <w:color w:val="auto"/>
              </w:rPr>
            </w:pPr>
          </w:p>
        </w:tc>
      </w:tr>
    </w:tbl>
    <w:p>
      <w:pPr>
        <w:spacing w:after="0" w:line="355"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Three Months Ended March 31, 2020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124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Healthcare</w:t>
            </w:r>
          </w:p>
        </w:tc>
        <w:tc>
          <w:tcPr>
            <w:tcW w:w="160" w:type="dxa"/>
            <w:vAlign w:val="bottom"/>
          </w:tcPr>
          <w:p>
            <w:pPr>
              <w:spacing w:after="0"/>
              <w:rPr>
                <w:sz w:val="14"/>
                <w:szCs w:val="14"/>
                <w:color w:val="auto"/>
              </w:rPr>
            </w:pPr>
          </w:p>
        </w:tc>
        <w:tc>
          <w:tcPr>
            <w:tcW w:w="11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Education</w:t>
            </w:r>
          </w:p>
        </w:tc>
        <w:tc>
          <w:tcPr>
            <w:tcW w:w="300" w:type="dxa"/>
            <w:vAlign w:val="bottom"/>
          </w:tcPr>
          <w:p>
            <w:pPr>
              <w:spacing w:after="0"/>
              <w:rPr>
                <w:sz w:val="14"/>
                <w:szCs w:val="14"/>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Fixed-fee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55,785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25,393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13,175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94,353</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96,033</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19,567</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12,666</w:t>
            </w:r>
          </w:p>
        </w:tc>
        <w:tc>
          <w:tcPr>
            <w:tcW w:w="0" w:type="dxa"/>
            <w:vAlign w:val="bottom"/>
          </w:tcPr>
          <w:p>
            <w:pPr>
              <w:spacing w:after="0"/>
              <w:rPr>
                <w:sz w:val="1"/>
                <w:szCs w:val="1"/>
                <w:color w:val="auto"/>
              </w:rPr>
            </w:pP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95,578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64,905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62,136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222,619</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3"/>
                <w:szCs w:val="23"/>
                <w:i w:val="1"/>
                <w:iCs w:val="1"/>
                <w:color w:val="auto"/>
                <w:vertAlign w:val="superscript"/>
              </w:rPr>
              <w:t>(1)</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billable consultants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180,838</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41,781</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222,619</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Revenue recognized over time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94,459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64,905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62,022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221,386</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at a point in time</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95,578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64,905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62,136</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222,619</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60" w:right="60" w:hanging="652"/>
        <w:spacing w:after="0" w:line="254" w:lineRule="auto"/>
        <w:tabs>
          <w:tab w:leader="none" w:pos="482" w:val="left"/>
        </w:tabs>
        <w:numPr>
          <w:ilvl w:val="0"/>
          <w:numId w:val="5"/>
        </w:numPr>
        <w:rPr>
          <w:rFonts w:ascii="Arial" w:cs="Arial" w:eastAsia="Arial" w:hAnsi="Arial"/>
          <w:sz w:val="18"/>
          <w:szCs w:val="18"/>
          <w:color w:val="auto"/>
        </w:rPr>
      </w:pPr>
      <w:r>
        <w:rPr>
          <w:rFonts w:ascii="Arial" w:cs="Arial" w:eastAsia="Arial" w:hAnsi="Arial"/>
          <w:sz w:val="18"/>
          <w:szCs w:val="18"/>
          <w:color w:val="auto"/>
        </w:rPr>
        <w:t>Billable consultants consist of our consulting professionals who provide consulting services to our clients and are billable to our clients based on the number of hours worked. Full-time equivalent professionals consist of leadership coaches and their support staff within our Culture and Organizational Excellence solution, consultants who work variable schedules as needed by our clients, and full-time employees who provide software support and maintenance services to our clients.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March 31, 2021 and December 31, 2020, no single client accounted for greater than 10% of our combined balance of receivables from clients, net and unbilled services, net. During the three months ended March 31, 2021 and 2020, no single client generated greater than 10% of our consolidated revenues.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Group Hiring</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April 5, 2021, we hired approximately 300 full-time equivalent professionals within our Healthcare operating segment. These additional professionals will expand our capacity to provide revenue cycle billing, collections, insurance verification and charge integrity services to our healthcare clients. These professionals will serve new and existing clients in our Healthcare managed services solution, including serving under a short-term contract with an existing client which we entered into in connection with this group hire. The hiring of these professionals is not significant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 w:right="4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9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4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Statements in this Quarterly Report on Form 10-Q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the impact of the COVID-19 pandemic on the economy, our clients and client demand for our services, and our ability to sell and provide services, including the measures taken by governmental authorities and businesses in response to the pandemic, which may cause or contribute to other risks and uncertainties that we face;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2020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Huron is a global consultancy that collaborates with clients to drive strategic growth, ignite innovation and navigate constant change. Through a combination of strategy, expertise and creativity, we help clients accelerate operational, digital and cultural transformation, enabling the change they need to own their future. By embracing diverse perspectives, encouraging new ideas and challenging the status quo, we create sustainable results for the organizations we serve.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provide professional services through three operating segments: Healthcare, Business Advisory, and Education.</w:t>
      </w:r>
    </w:p>
    <w:p>
      <w:pPr>
        <w:spacing w:after="0" w:line="14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Healthcare</w:t>
      </w:r>
    </w:p>
    <w:p>
      <w:pPr>
        <w:spacing w:after="0" w:line="193" w:lineRule="exact"/>
        <w:rPr>
          <w:rFonts w:ascii="Arial" w:cs="Arial" w:eastAsia="Arial" w:hAnsi="Arial"/>
          <w:sz w:val="18"/>
          <w:szCs w:val="18"/>
          <w:b w:val="1"/>
          <w:bCs w:val="1"/>
          <w:color w:val="auto"/>
        </w:rPr>
      </w:pPr>
    </w:p>
    <w:p>
      <w:pPr>
        <w:ind w:left="660" w:right="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serves national and regional hospitals, integrated health systems, academic medical centers, community hospitals, and medical groups. Our Healthcare professionals have a depth of expertise in business operations, including financial and operational improvement, care transformation, and revenue cycle managed services; organizational transformation; and digital, technology and analytic solutions. Most healthcare organizations are focused on changing the way care is delivered; establishing a sustainable business model centered around optimal cost structures, reimbursement models and financial strategies; and evolving their digital, technology and analytic capabilities. Our solutions help clients adapt to this rapidly changing healthcare environment to become a more agile, efficient and consumer-centric organization. We use our deep industry expertise to help clients solve a diverse set of business issues, including, but not limited to, optimizing financial and operational performance, improving care delivery and clinical outcomes, increasing physician, patient and employee satisfaction, evolving organizational culture, and maximizing return on technology investments.</w:t>
      </w:r>
    </w:p>
    <w:p>
      <w:pPr>
        <w:spacing w:after="0" w:line="135"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Business Advisory</w:t>
      </w:r>
    </w:p>
    <w:p>
      <w:pPr>
        <w:spacing w:after="0" w:line="193" w:lineRule="exact"/>
        <w:rPr>
          <w:rFonts w:ascii="Arial" w:cs="Arial" w:eastAsia="Arial" w:hAnsi="Arial"/>
          <w:sz w:val="18"/>
          <w:szCs w:val="18"/>
          <w:color w:val="auto"/>
        </w:rPr>
      </w:pPr>
    </w:p>
    <w:p>
      <w:pPr>
        <w:ind w:left="660" w:right="60"/>
        <w:spacing w:after="0" w:line="251" w:lineRule="auto"/>
        <w:rPr>
          <w:rFonts w:ascii="Arial" w:cs="Arial" w:eastAsia="Arial" w:hAnsi="Arial"/>
          <w:sz w:val="18"/>
          <w:szCs w:val="18"/>
          <w:color w:val="auto"/>
        </w:rPr>
      </w:pPr>
      <w:r>
        <w:rPr>
          <w:rFonts w:ascii="Arial" w:cs="Arial" w:eastAsia="Arial" w:hAnsi="Arial"/>
          <w:sz w:val="18"/>
          <w:szCs w:val="18"/>
          <w:color w:val="auto"/>
        </w:rPr>
        <w:t>Our Business Advisory segment works with C-suite executives, boards, and business unit and functional leadership across a diverse set of organizations, including healthy, well-capitalized companies to organizations in transition, and across a broad range of industries, including life sciences, financial services, healthcare, education, energy and utilities, industrials and manufacturing, and the public sector. Our Business Advisory professionals have deep industry, functional and technical expertise that they put forward when delivering our digital, technology and analytics, strategy and innovation and corporate finance and restructuring services. In today’s disruptive environment, organizations must reimagine their historical strategies and financial and operating models to sustain and advance their competitive advantage. Organizations also recognize the need to adopt technologies, automation and analytics to improve their operations and compete in a rapidly changing environment. Our experts help organizations across industries with a variety of business challenges, including, but not limited to, embedding technology and analytics throughout their internal and customer-facing operations, developing insights into the needs of tomorrow’s customers in order to evolve their enterprise and business unit strategies, bringing new products to market, and managing through stressed and distressed situations to create a viable path forward for stakeholders.</w:t>
      </w:r>
    </w:p>
    <w:p>
      <w:pPr>
        <w:sectPr>
          <w:pgSz w:w="11900" w:h="16838" w:orient="portrait"/>
          <w:cols w:equalWidth="0" w:num="1">
            <w:col w:w="11240"/>
          </w:cols>
          <w:pgMar w:left="320" w:top="140" w:right="339" w:bottom="819"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819"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Education</w:t>
      </w:r>
    </w:p>
    <w:p>
      <w:pPr>
        <w:spacing w:after="0" w:line="193" w:lineRule="exact"/>
        <w:rPr>
          <w:rFonts w:ascii="Arial" w:cs="Arial" w:eastAsia="Arial" w:hAnsi="Arial"/>
          <w:sz w:val="18"/>
          <w:szCs w:val="18"/>
          <w:b w:val="1"/>
          <w:bCs w:val="1"/>
          <w:color w:val="auto"/>
        </w:rPr>
      </w:pPr>
    </w:p>
    <w:p>
      <w:pPr>
        <w:ind w:left="66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Education segment serves public and private colleges and universities, academic medical centers, research institutes and other not-for-profit organizations. Our Education professionals have a depth of expertise in strategy and innovation; business operations, including the research enterprise and student lifecycle; digital, technology and analytic solutions; and organizational transformation. Our Education segment clients are increasingly faced with financial and/or demographic challenges as well as increased competition. To remain competitive, organizations must challenge traditional operating and financial models and reimagine strategic, operational and research-centered opportunities that advance their mission while strengthening their business models. We collaborate with clients to address these challenges and ensure they have a sustainable future. We combine our deep industry, functional and technical expertise to help clients solve their most pressing challenges, including, but not limited to, transforming business operations with technology; strengthening research strategies and support services; evolving their organizational strategy; optimizing financial and operational performance; and enhancing the student lifecycle.</w:t>
      </w:r>
    </w:p>
    <w:p>
      <w:pPr>
        <w:spacing w:after="0" w:line="15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Huron is an Oracle partner, a Gold-level consulting partner with Salesforce.com and a Premium Partner with Salesforce.org, a Workday Services and Software Partner, an Amazon Web Services consulting partner, a Silver-level system integrator with Informatica and an SAP Concur implementation partner.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(COVID-</w:t>
      </w:r>
      <w:r>
        <w:rPr>
          <w:rFonts w:ascii="Arial" w:cs="Arial" w:eastAsia="Arial" w:hAnsi="Arial"/>
          <w:sz w:val="18"/>
          <w:szCs w:val="18"/>
          <w:b w:val="1"/>
          <w:bCs w:val="1"/>
          <w:color w:val="auto"/>
        </w:rPr>
        <w:t>19)</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worldwide spread of COVID-19 beginning in 2020 has created significant volatility, uncertainty and disruption to the global economy. This pandemic has had an unfavorable impact on aspects of our business, operations, and financial results, and has caused us to significantly change the way we operate. Near the end of the first quarter of 2020, we suspended almost all business travel and our employees began working from their homes. While traditionally a majority of the work performed by our revenue-generating professionals occurred at client sites, the nature of the services we provide and enhanced available technology allows our revenue-generating professionals to effectively serve clients in a remote work environment. As state and local governments ease their restrictions, we continue to refine our comprehensive plan to return to our offices and client sites with our people’s safety and the needs of our clients guiding how we implement our phased transition. As of March 31, 2021, our employees continue to primarily work from their homes.</w:t>
      </w:r>
    </w:p>
    <w:p>
      <w:pPr>
        <w:spacing w:after="0" w:line="15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each of our operating segments, we are working closely with our clients to support them and their ongoing business needs and provide relevant services to address their needs caused by the COVID-19 pandemic. However, as some clients reprioritized and delayed projects as a result of the pandemic, demand for certain offerings has been negatively impacted, particularly within our Healthcare and Education segments. Total revenues in the first quarter of 2021 decreased 8.7% compared to the first quarter of 2020, which was not significantly impacted by the pandemic. In addition to the impact on first quarter 2021 revenues, the COVID-19 pandemic negatively impacted sales and elongated the sales cycle for new opportunities for certain services, particularly within our Healthcare and Education segments. Given the uncertainties around the duration of the COVID-19 pandemic, we continue to remain cautious about revenue growth for the first half of 2021 when compared to the first half of 2020.</w:t>
      </w:r>
    </w:p>
    <w:p>
      <w:pPr>
        <w:spacing w:after="0" w:line="15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COVID-19 pandemic has strengthened demand for other services we provide, such as our cloud-based technology and analytics solutions within our Business Advisory segment and our restructuring and capital advisory solutions provided to organizations in transition also within our Business Advisory segment.</w:t>
      </w:r>
    </w:p>
    <w:p>
      <w:pPr>
        <w:spacing w:after="0" w:line="148"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 order to support our liquidity during the COVID-19 pandemic, we took proactive measures to increase available cash on hand including, but not limited to, borrowing under our senior secured credit facility in the first quarter of 2020 and reducing discretionary operating and capital spending. In the second, third and fourth quarters of 2020, we made repayments on our borrowings to reduce our total debt outstanding to pre-pandemic levels due to our ability to maintain adequate cash flows from operations and improved clarity around access to capital resources. In the first quarter of 2021, we borrowed under our credit facility primarily to fund our annual performance bonus payment. To further support our liquidity during the COVID-19 pandemic, we elected to defer the deposit of our employer portion of social security taxes beginning in April 2020 and through December 31, 2020, which we expect to pay in equal installments in the fourth quarters of 2021 and 2022, as provided for under CARES Act. See the “Liquidity and Capital Resources” section below for additional information on these items.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Resource Planning System Implementation</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fourth quarter of 2019, we began the implementation of a new cloud-based enterprise resource planning (“ERP”) system designed to improve the efficiency of our internal finance, human resources, resource planning, and administrative operations. In January 2021, we successfully went live with the new ERP system, and we continue to progress with additional functionality and integrations as scheduled. The implementation progressed on schedule and has not been significantly impacted by the COVID-19 pandemic due to the ability of our implementation team to work and collaborate remotely and the enhanced technology and cloud-based nature of our new ERP system. We believe our investment in this new system will position our teams to drive efficiencies and provide more robust management reporting and data analytics to support future growth and the goals and vision of the company.</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large portion of our revenues is generated by our billable consultants who provide consulting services to our clients and are billable to our clients based on the number of hours worked. A smaller portion of our revenues is generated by our other professionals, also referred to as full-time equivalents, some of whom work variable schedules as needed by our clients. Full-time equivalent professionals consist of our coaches and their support staff from our Culture and Organizational Excellence solution, consultants who work variable schedules as needed by our clients, employees who provide managed services in our Healthcare segment, and our employees who provide software support and maintenance services to our clients. We translate the hours that these other professionals work on client engagements into a full-time equivalent measure that we use to manage our business. We refer to our billable consultants and other professionals collectively as revenue-generating professionals.</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Revenues generated by our billable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 coaches are largely dependent on the number of coaches we employ and the total value, scope, and terms of the consulting contracts under which they provide services, which are primarily fixed-fee contracts. Revenues generated by our healthcare managed services solution are dependent on the total value, scope and terms of the related contracts.</w:t>
      </w:r>
    </w:p>
    <w:p>
      <w:pPr>
        <w:spacing w:after="0" w:line="15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generate our revenues from providing professional services under four types of billing arrangements: fixed-fee (including software license revenue); time-and-expense; performance-based; and software support, maintenance and subscriptions.</w:t>
      </w:r>
    </w:p>
    <w:p>
      <w:pPr>
        <w:spacing w:after="0" w:line="14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 Contracts within our Culture and Organizational Excellence solution include fixed-fee partner contracts with multiple performance obligations (“Partner Contracts”), which primarily consist of coaching services, as well as speaking engagements, conferences, publications and software products.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w:t>
      </w:r>
    </w:p>
    <w:p>
      <w:pPr>
        <w:spacing w:after="0" w:line="15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Fixed-fee engagements represented 46.0% and 42.4% of our revenues for the three months ended March 31, 2021 and 2020, respectively.</w:t>
      </w:r>
    </w:p>
    <w:p>
      <w:pPr>
        <w:spacing w:after="0" w:line="17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Culture and Organizational Excellence solution. We recognize revenues under time-and-expense billing arrangements as the related services or publications are provided. Time-and-expense engagements represented 38.3% and 43.1% of our revenues for the three months ended March 31, 2021 and 2020, respectively.</w:t>
      </w:r>
    </w:p>
    <w:p>
      <w:pPr>
        <w:spacing w:after="0" w:line="1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recognize revenues under performance-based billing arrangements by estimating the amount of variable consideration that is probable of being earned and recognizing that estimate over the length of the contract using a proportionate performance approach. Performance-based fee revenues represented 8.9% and 8.8% of our revenues for the three months ended March 31, 2021 and 2020, respectively. The level of performance-based fees earned may vary based on our clients' risk sharing preferences and the mix of services we provide.</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 Software support, maintenance and subscription revenues represented 6.8% and 5.7% of our revenues for the three months ended March 31, 2021 and 2020, respectively.</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quarterly results are impacted principally by our billable consultants’ utilization rate, the bill rates we charge our clients, and the number of our revenue-generating professionals who are available to work.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5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9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continue to hire highly qualified professionals and have entered into select acquisitions of complementary businesses.</w:t>
      </w:r>
    </w:p>
    <w:p>
      <w:pPr>
        <w:spacing w:after="0" w:line="14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 expand our business, we will remain focused on growing our existing relationships and developing new relationships, executing our managing director compensation plan to attract and retain senior practitioners, continuing to promote and provide an integrated approach to service delivery, broadening the scope of our existing services, and acquiring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and endorsed messages.</w:t>
      </w: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selected segment and consolidated operating results and other operating data.</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Segment and Consolidated Operating Results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Healthcare:</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Three Months Ended</w:t>
      </w:r>
    </w:p>
    <w:p>
      <w:pPr>
        <w:jc w:val="center"/>
        <w:ind w:right="5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6350</wp:posOffset>
            </wp:positionV>
            <wp:extent cx="19373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tabs>
          <w:tab w:leader="none" w:pos="1560"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2020</w:t>
      </w:r>
    </w:p>
    <w:p>
      <w:pPr>
        <w:spacing w:after="0" w:line="299" w:lineRule="exact"/>
        <w:rPr>
          <w:sz w:val="20"/>
          <w:szCs w:val="20"/>
          <w:color w:val="auto"/>
        </w:rPr>
      </w:pPr>
    </w:p>
    <w:p>
      <w:pPr>
        <w:sectPr>
          <w:pgSz w:w="11900" w:h="16838" w:orient="portrait"/>
          <w:cols w:equalWidth="0" w:num="2">
            <w:col w:w="8000" w:space="720"/>
            <w:col w:w="252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5380" w:type="dxa"/>
            <w:vAlign w:val="bottom"/>
          </w:tcPr>
          <w:p>
            <w:pPr>
              <w:ind w:left="20"/>
              <w:spacing w:after="0"/>
              <w:rPr>
                <w:sz w:val="20"/>
                <w:szCs w:val="20"/>
                <w:color w:val="auto"/>
              </w:rPr>
            </w:pPr>
            <w:r>
              <w:rPr>
                <w:rFonts w:ascii="Arial" w:cs="Arial" w:eastAsia="Arial" w:hAnsi="Arial"/>
                <w:sz w:val="18"/>
                <w:szCs w:val="18"/>
                <w:color w:val="auto"/>
              </w:rPr>
              <w:t>Revenues</w:t>
            </w:r>
          </w:p>
        </w:tc>
        <w:tc>
          <w:tcPr>
            <w:tcW w:w="3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79,722</w:t>
            </w:r>
          </w:p>
        </w:tc>
        <w:tc>
          <w:tcPr>
            <w:tcW w:w="10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95,578</w:t>
            </w: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20,484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24,050</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2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25.2 %</w:t>
            </w: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Business Advisory:</w:t>
            </w:r>
          </w:p>
        </w:tc>
        <w:tc>
          <w:tcPr>
            <w:tcW w:w="2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Revenues</w:t>
            </w:r>
          </w:p>
        </w:tc>
        <w:tc>
          <w:tcPr>
            <w:tcW w:w="3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72,867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64,905</w:t>
            </w: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13,077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9,842</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2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15.2 %</w:t>
            </w: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2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Revenues</w:t>
            </w:r>
          </w:p>
        </w:tc>
        <w:tc>
          <w:tcPr>
            <w:tcW w:w="3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50,624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62,136</w:t>
            </w: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8,653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13,116</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2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21.1 %</w:t>
            </w: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Company:</w:t>
            </w:r>
          </w:p>
        </w:tc>
        <w:tc>
          <w:tcPr>
            <w:tcW w:w="2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Revenues</w:t>
            </w:r>
          </w:p>
        </w:tc>
        <w:tc>
          <w:tcPr>
            <w:tcW w:w="3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203,213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222,619</w:t>
            </w: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28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19,303</w:t>
            </w:r>
          </w:p>
        </w:tc>
      </w:tr>
      <w:tr>
        <w:trPr>
          <w:trHeight w:val="223"/>
        </w:trPr>
        <w:tc>
          <w:tcPr>
            <w:tcW w:w="5380" w:type="dxa"/>
            <w:vAlign w:val="bottom"/>
          </w:tcPr>
          <w:p>
            <w:pPr>
              <w:ind w:left="220"/>
              <w:spacing w:after="0"/>
              <w:rPr>
                <w:sz w:val="20"/>
                <w:szCs w:val="20"/>
                <w:color w:val="auto"/>
              </w:rPr>
            </w:pPr>
            <w:r>
              <w:rPr>
                <w:rFonts w:ascii="Arial" w:cs="Arial" w:eastAsia="Arial" w:hAnsi="Arial"/>
                <w:sz w:val="18"/>
                <w:szCs w:val="18"/>
                <w:color w:val="auto"/>
              </w:rPr>
              <w:t>Total revenues and reimbursable expenses</w:t>
            </w:r>
          </w:p>
        </w:tc>
        <w:tc>
          <w:tcPr>
            <w:tcW w:w="3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205,147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241,922</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Statements of Operations reconciliation:</w:t>
            </w:r>
          </w:p>
        </w:tc>
        <w:tc>
          <w:tcPr>
            <w:tcW w:w="2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42,214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47,008</w:t>
            </w: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2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2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28,837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27,146</w:t>
            </w:r>
          </w:p>
        </w:tc>
      </w:tr>
      <w:tr>
        <w:trPr>
          <w:trHeight w:val="230"/>
        </w:trPr>
        <w:tc>
          <w:tcPr>
            <w:tcW w:w="53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Litigation and other losses (gains)</w:t>
            </w:r>
          </w:p>
        </w:tc>
        <w:tc>
          <w:tcPr>
            <w:tcW w:w="2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(150)</w:t>
            </w:r>
          </w:p>
        </w:tc>
      </w:tr>
      <w:tr>
        <w:trPr>
          <w:trHeight w:val="229"/>
        </w:trPr>
        <w:tc>
          <w:tcPr>
            <w:tcW w:w="53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6,047</w:t>
            </w:r>
          </w:p>
        </w:tc>
      </w:tr>
      <w:tr>
        <w:trPr>
          <w:trHeight w:val="230"/>
        </w:trPr>
        <w:tc>
          <w:tcPr>
            <w:tcW w:w="53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Goodwill impairment charges </w:t>
            </w:r>
            <w:r>
              <w:rPr>
                <w:rFonts w:ascii="Arial" w:cs="Arial" w:eastAsia="Arial" w:hAnsi="Arial"/>
                <w:sz w:val="23"/>
                <w:szCs w:val="23"/>
                <w:color w:val="auto"/>
                <w:vertAlign w:val="superscript"/>
              </w:rPr>
              <w:t>(1)</w:t>
            </w:r>
          </w:p>
        </w:tc>
        <w:tc>
          <w:tcPr>
            <w:tcW w:w="2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59,816</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8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8,240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(45,851)</w:t>
            </w:r>
          </w:p>
        </w:tc>
      </w:tr>
      <w:tr>
        <w:trPr>
          <w:trHeight w:val="230"/>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28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(7,637)</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Income (loss) from continuing operations before taxes</w:t>
            </w:r>
          </w:p>
        </w:tc>
        <w:tc>
          <w:tcPr>
            <w:tcW w:w="2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6,941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(53,488)</w:t>
            </w: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(11,215)</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(42,273)</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(loss) per share from continuing operations:</w:t>
            </w:r>
          </w:p>
        </w:tc>
        <w:tc>
          <w:tcPr>
            <w:tcW w:w="2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5380" w:type="dxa"/>
            <w:vAlign w:val="bottom"/>
          </w:tcPr>
          <w:p>
            <w:pPr>
              <w:ind w:left="360"/>
              <w:spacing w:after="0"/>
              <w:rPr>
                <w:sz w:val="20"/>
                <w:szCs w:val="20"/>
                <w:color w:val="auto"/>
              </w:rPr>
            </w:pPr>
            <w:r>
              <w:rPr>
                <w:rFonts w:ascii="Arial" w:cs="Arial" w:eastAsia="Arial" w:hAnsi="Arial"/>
                <w:sz w:val="18"/>
                <w:szCs w:val="18"/>
                <w:color w:val="auto"/>
              </w:rPr>
              <w:t>Basic</w:t>
            </w:r>
          </w:p>
        </w:tc>
        <w:tc>
          <w:tcPr>
            <w:tcW w:w="3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(1.94)</w:t>
            </w:r>
          </w:p>
        </w:tc>
      </w:tr>
      <w:tr>
        <w:trPr>
          <w:trHeight w:val="230"/>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(1.94)</w:t>
            </w:r>
          </w:p>
        </w:tc>
      </w:tr>
      <w:tr>
        <w:trPr>
          <w:trHeight w:val="891"/>
        </w:trPr>
        <w:tc>
          <w:tcPr>
            <w:tcW w:w="5380" w:type="dxa"/>
            <w:vAlign w:val="bottom"/>
          </w:tcPr>
          <w:p>
            <w:pPr>
              <w:spacing w:after="0"/>
              <w:rPr>
                <w:sz w:val="24"/>
                <w:szCs w:val="24"/>
                <w:color w:val="auto"/>
              </w:rPr>
            </w:pPr>
          </w:p>
        </w:tc>
        <w:tc>
          <w:tcPr>
            <w:tcW w:w="2800" w:type="dxa"/>
            <w:vAlign w:val="bottom"/>
          </w:tcPr>
          <w:p>
            <w:pPr>
              <w:jc w:val="right"/>
              <w:ind w:right="237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8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19"/>
                <w:szCs w:val="19"/>
                <w:color w:val="auto"/>
              </w:rPr>
            </w:pPr>
          </w:p>
        </w:tc>
      </w:tr>
      <w:tr>
        <w:trPr>
          <w:trHeight w:val="223"/>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Operating Data:</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82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Number of billable consultants (at period end) </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32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892</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Advisory</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916</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Education</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791</w:t>
            </w:r>
          </w:p>
        </w:tc>
      </w:tr>
      <w:tr>
        <w:trPr>
          <w:trHeight w:val="223"/>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2,599</w:t>
            </w:r>
          </w:p>
        </w:tc>
      </w:tr>
      <w:tr>
        <w:trPr>
          <w:trHeight w:val="230"/>
        </w:trPr>
        <w:tc>
          <w:tcPr>
            <w:tcW w:w="822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Average number of billable consultants (for the period) </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897</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Business Advisory</w:t>
            </w:r>
          </w:p>
        </w:tc>
        <w:tc>
          <w:tcPr>
            <w:tcW w:w="32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920</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778</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2,595</w:t>
            </w:r>
          </w:p>
        </w:tc>
      </w:tr>
      <w:tr>
        <w:trPr>
          <w:trHeight w:val="230"/>
        </w:trPr>
        <w:tc>
          <w:tcPr>
            <w:tcW w:w="8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Billable consultant utilization rate </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67.9 %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71.6 %</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Advisory</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71.5 %</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Education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70.1 %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76.2 %</w:t>
            </w: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72.9 %</w:t>
            </w:r>
          </w:p>
        </w:tc>
      </w:tr>
      <w:tr>
        <w:trPr>
          <w:trHeight w:val="230"/>
        </w:trPr>
        <w:tc>
          <w:tcPr>
            <w:tcW w:w="822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Billable consultant average billing rate per hour </w:t>
            </w:r>
            <w:r>
              <w:rPr>
                <w:rFonts w:ascii="Arial" w:cs="Arial" w:eastAsia="Arial" w:hAnsi="Arial"/>
                <w:sz w:val="23"/>
                <w:szCs w:val="23"/>
                <w:b w:val="1"/>
                <w:bCs w:val="1"/>
                <w:color w:val="auto"/>
                <w:vertAlign w:val="superscript"/>
              </w:rPr>
              <w:t>(4)</w:t>
            </w: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228</w:t>
            </w:r>
          </w:p>
        </w:tc>
      </w:tr>
      <w:tr>
        <w:trPr>
          <w:trHeight w:val="229"/>
        </w:trPr>
        <w:tc>
          <w:tcPr>
            <w:tcW w:w="8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Business Advisory </w:t>
            </w:r>
            <w:r>
              <w:rPr>
                <w:rFonts w:ascii="Arial" w:cs="Arial" w:eastAsia="Arial" w:hAnsi="Arial"/>
                <w:sz w:val="23"/>
                <w:szCs w:val="23"/>
                <w:color w:val="auto"/>
                <w:vertAlign w:val="superscript"/>
              </w:rPr>
              <w:t>(5)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198</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188</w:t>
            </w:r>
          </w:p>
        </w:tc>
      </w:tr>
      <w:tr>
        <w:trPr>
          <w:trHeight w:val="229"/>
        </w:trPr>
        <w:tc>
          <w:tcPr>
            <w:tcW w:w="822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204</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per billable consultant (in thousands):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73</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Advisory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67</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Education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69</w:t>
            </w: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70</w:t>
            </w:r>
          </w:p>
        </w:tc>
      </w:tr>
      <w:tr>
        <w:trPr>
          <w:trHeight w:val="230"/>
        </w:trPr>
        <w:tc>
          <w:tcPr>
            <w:tcW w:w="822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23"/>
                <w:szCs w:val="23"/>
                <w:b w:val="1"/>
                <w:bCs w:val="1"/>
                <w:color w:val="auto"/>
                <w:vertAlign w:val="superscript"/>
              </w:rPr>
              <w:t>(6)</w:t>
            </w: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278</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Business Advisory</w:t>
            </w:r>
          </w:p>
        </w:tc>
        <w:tc>
          <w:tcPr>
            <w:tcW w:w="32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20</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60</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358</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per full-time equivalent (in thousands):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108</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Advisory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149</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Education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144</w:t>
            </w: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117</w:t>
            </w:r>
          </w:p>
        </w:tc>
      </w:tr>
    </w:tbl>
    <w:p>
      <w:pPr>
        <w:spacing w:after="0" w:line="80" w:lineRule="exact"/>
        <w:rPr>
          <w:sz w:val="20"/>
          <w:szCs w:val="20"/>
          <w:color w:val="auto"/>
        </w:rPr>
      </w:pPr>
    </w:p>
    <w:p>
      <w:pPr>
        <w:ind w:left="600" w:hanging="59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non-cash goodwill impairment charges are not allocated at the segment level because the underlying goodwill asset is reflective</w:t>
      </w:r>
    </w:p>
    <w:p>
      <w:pPr>
        <w:spacing w:after="0" w:line="9" w:lineRule="exact"/>
        <w:rPr>
          <w:sz w:val="20"/>
          <w:szCs w:val="20"/>
          <w:color w:val="auto"/>
        </w:rPr>
      </w:pPr>
    </w:p>
    <w:p>
      <w:pPr>
        <w:ind w:left="580" w:right="440"/>
        <w:spacing w:after="0" w:line="261" w:lineRule="auto"/>
        <w:rPr>
          <w:sz w:val="20"/>
          <w:szCs w:val="20"/>
          <w:color w:val="auto"/>
        </w:rPr>
      </w:pPr>
      <w:r>
        <w:rPr>
          <w:rFonts w:ascii="Arial" w:cs="Arial" w:eastAsia="Arial" w:hAnsi="Arial"/>
          <w:sz w:val="18"/>
          <w:szCs w:val="18"/>
          <w:color w:val="auto"/>
        </w:rPr>
        <w:t>of our corporate investment in the segments. We do not include the impact of goodwill impairment charges in our evaluation of segment performance.</w:t>
      </w:r>
    </w:p>
    <w:p>
      <w:pPr>
        <w:spacing w:after="0" w:line="36" w:lineRule="exact"/>
        <w:rPr>
          <w:sz w:val="20"/>
          <w:szCs w:val="20"/>
          <w:color w:val="auto"/>
        </w:rPr>
      </w:pPr>
    </w:p>
    <w:p>
      <w:pPr>
        <w:ind w:left="580" w:right="520" w:hanging="572"/>
        <w:spacing w:after="0" w:line="261" w:lineRule="auto"/>
        <w:tabs>
          <w:tab w:leader="none" w:pos="611"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our consulting professionals who provide consulting services and generate revenues based on the number of hours worked.</w:t>
      </w:r>
    </w:p>
    <w:p>
      <w:pPr>
        <w:spacing w:after="0" w:line="35" w:lineRule="exact"/>
        <w:rPr>
          <w:rFonts w:ascii="Arial" w:cs="Arial" w:eastAsia="Arial" w:hAnsi="Arial"/>
          <w:sz w:val="18"/>
          <w:szCs w:val="18"/>
          <w:color w:val="auto"/>
        </w:rPr>
      </w:pPr>
    </w:p>
    <w:p>
      <w:pPr>
        <w:ind w:left="580" w:right="100" w:hanging="572"/>
        <w:spacing w:after="0" w:line="256" w:lineRule="auto"/>
        <w:tabs>
          <w:tab w:leader="none" w:pos="611"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Utilization rate for our billable consultants is calculated by dividing the number of hours our billable consultants worked on client assignments during a period by the total available working hours for these consultants during the same period, assuming a forty-hour work week, less paid holidays and vacation days.</w:t>
      </w:r>
    </w:p>
    <w:p>
      <w:pPr>
        <w:spacing w:after="0" w:line="39" w:lineRule="exact"/>
        <w:rPr>
          <w:rFonts w:ascii="Arial" w:cs="Arial" w:eastAsia="Arial" w:hAnsi="Arial"/>
          <w:sz w:val="18"/>
          <w:szCs w:val="18"/>
          <w:color w:val="auto"/>
        </w:rPr>
      </w:pPr>
    </w:p>
    <w:p>
      <w:pPr>
        <w:ind w:left="580" w:right="20" w:hanging="572"/>
        <w:spacing w:after="0" w:line="261" w:lineRule="auto"/>
        <w:tabs>
          <w:tab w:leader="none" w:pos="611"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billing rate per hour for our billable consultants is calculated by dividing revenues for a period by the number of hours worked on client assignments during the same period.</w:t>
      </w:r>
    </w:p>
    <w:p>
      <w:pPr>
        <w:spacing w:after="0" w:line="35" w:lineRule="exact"/>
        <w:rPr>
          <w:rFonts w:ascii="Arial" w:cs="Arial" w:eastAsia="Arial" w:hAnsi="Arial"/>
          <w:sz w:val="18"/>
          <w:szCs w:val="18"/>
          <w:color w:val="auto"/>
        </w:rPr>
      </w:pPr>
    </w:p>
    <w:p>
      <w:pPr>
        <w:jc w:val="both"/>
        <w:ind w:left="580" w:right="140" w:hanging="572"/>
        <w:spacing w:after="0" w:line="256" w:lineRule="auto"/>
        <w:tabs>
          <w:tab w:leader="none" w:pos="61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Business Advisory segment includes operations of Huron Eurasia India. Absent the impact of Huron Eurasia India, the average billing rate per hour for the Business Advisory segment would have been $221 and $224 for the three months ended March 31, 2021 and 2020, respectively.</w:t>
      </w:r>
    </w:p>
    <w:p>
      <w:pPr>
        <w:spacing w:after="0" w:line="40" w:lineRule="exact"/>
        <w:rPr>
          <w:sz w:val="20"/>
          <w:szCs w:val="20"/>
          <w:color w:val="auto"/>
        </w:rPr>
      </w:pPr>
    </w:p>
    <w:p>
      <w:pPr>
        <w:ind w:left="580" w:right="100"/>
        <w:spacing w:after="0" w:line="261" w:lineRule="auto"/>
        <w:rPr>
          <w:sz w:val="20"/>
          <w:szCs w:val="20"/>
          <w:color w:val="auto"/>
        </w:rPr>
      </w:pPr>
      <w:r>
        <w:rPr>
          <w:rFonts w:ascii="Arial" w:cs="Arial" w:eastAsia="Arial" w:hAnsi="Arial"/>
          <w:sz w:val="18"/>
          <w:szCs w:val="18"/>
          <w:color w:val="auto"/>
        </w:rPr>
        <w:t>Absent the impact of Huron Eurasia India, Huron's consolidated average billing rate per hour would have been $212 and $213 for the three months ended March 31, 2021 and 2020, respectively.</w:t>
      </w:r>
    </w:p>
    <w:p>
      <w:pPr>
        <w:spacing w:after="0" w:line="36" w:lineRule="exact"/>
        <w:rPr>
          <w:sz w:val="20"/>
          <w:szCs w:val="20"/>
          <w:color w:val="auto"/>
        </w:rPr>
      </w:pPr>
    </w:p>
    <w:p>
      <w:pPr>
        <w:jc w:val="both"/>
        <w:ind w:left="580" w:right="140" w:hanging="572"/>
        <w:spacing w:after="0" w:line="256" w:lineRule="auto"/>
        <w:tabs>
          <w:tab w:leader="none" w:pos="6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coaches and their support staff within our Culture and Organizational Excellence solution, consultants who work variable schedules as needed by our clients, employees who provide managed services in our Healthcare segment, and full-time employees who provide software support and maintenance services to our clients.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also assess our results of operations using certain non-GAAP financial measures. These non-GAAP financial measures differ from GAAP because the non-GAAP financial measures we calculate to measure earnings before interest, taxes, depreciation and amortization ("EBITDA"), adjusted EBITDA, adjusted EBITDA as a percentage of revenues,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5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 except per share amounts):</w:t>
      </w:r>
    </w:p>
    <w:p>
      <w:pPr>
        <w:spacing w:after="0" w:line="275" w:lineRule="exact"/>
        <w:rPr>
          <w:sz w:val="20"/>
          <w:szCs w:val="20"/>
          <w:color w:val="auto"/>
        </w:rPr>
      </w:pPr>
    </w:p>
    <w:p>
      <w:pPr>
        <w:jc w:val="center"/>
        <w:ind w:left="8060"/>
        <w:spacing w:after="0"/>
        <w:rPr>
          <w:sz w:val="20"/>
          <w:szCs w:val="20"/>
          <w:color w:val="auto"/>
        </w:rPr>
      </w:pPr>
      <w:r>
        <w:rPr>
          <w:rFonts w:ascii="Arial" w:cs="Arial" w:eastAsia="Arial" w:hAnsi="Arial"/>
          <w:sz w:val="18"/>
          <w:szCs w:val="18"/>
          <w:b w:val="1"/>
          <w:bCs w:val="1"/>
          <w:color w:val="auto"/>
        </w:rPr>
        <w:t>Three Months Ended</w:t>
      </w:r>
    </w:p>
    <w:p>
      <w:pPr>
        <w:jc w:val="center"/>
        <w:ind w:left="806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203,213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222,619</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vMerge w:val="continue"/>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5,405</w:t>
            </w:r>
          </w:p>
        </w:tc>
        <w:tc>
          <w:tcPr>
            <w:tcW w:w="12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line="203" w:lineRule="exact"/>
              <w:rPr>
                <w:sz w:val="20"/>
                <w:szCs w:val="20"/>
                <w:color w:val="auto"/>
              </w:rPr>
            </w:pPr>
            <w:r>
              <w:rPr>
                <w:rFonts w:ascii="Arial" w:cs="Arial" w:eastAsia="Arial" w:hAnsi="Arial"/>
                <w:sz w:val="18"/>
                <w:szCs w:val="18"/>
                <w:color w:val="auto"/>
              </w:rPr>
              <w:t>(42,273)</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back:</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(11,215)</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 of interest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6,551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7,415</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before interest, taxes, depreciation and amortization (EBITDA)</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15,211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(43,732)</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Add back:</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charges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Litigation and other losses (gains)</w:t>
            </w:r>
          </w:p>
        </w:tc>
        <w:tc>
          <w:tcPr>
            <w:tcW w:w="3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impairment charges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59,816</w:t>
            </w:r>
          </w:p>
        </w:tc>
        <w:tc>
          <w:tcPr>
            <w:tcW w:w="0" w:type="dxa"/>
            <w:vAlign w:val="bottom"/>
          </w:tcPr>
          <w:p>
            <w:pPr>
              <w:spacing w:after="0"/>
              <w:rPr>
                <w:sz w:val="1"/>
                <w:szCs w:val="1"/>
                <w:color w:val="auto"/>
              </w:rPr>
            </w:pPr>
          </w:p>
        </w:tc>
      </w:tr>
      <w:tr>
        <w:trPr>
          <w:trHeight w:val="229"/>
        </w:trPr>
        <w:tc>
          <w:tcPr>
            <w:tcW w:w="8080" w:type="dxa"/>
            <w:vAlign w:val="bottom"/>
          </w:tcPr>
          <w:p>
            <w:pPr>
              <w:ind w:left="360"/>
              <w:spacing w:after="0"/>
              <w:rPr>
                <w:sz w:val="20"/>
                <w:szCs w:val="20"/>
                <w:color w:val="auto"/>
              </w:rPr>
            </w:pPr>
            <w:r>
              <w:rPr>
                <w:rFonts w:ascii="Arial" w:cs="Arial" w:eastAsia="Arial" w:hAnsi="Arial"/>
                <w:sz w:val="18"/>
                <w:szCs w:val="18"/>
                <w:color w:val="auto"/>
              </w:rPr>
              <w:t>Loss on sale of business</w:t>
            </w:r>
          </w:p>
        </w:tc>
        <w:tc>
          <w:tcPr>
            <w:tcW w:w="34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Transaction-related expenses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transaction losses (gains),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16,454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19,014</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EBITDA as a percentage of revenues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8.1 %</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1"/>
        </w:trPr>
        <w:tc>
          <w:tcPr>
            <w:tcW w:w="8080" w:type="dxa"/>
            <w:vAlign w:val="bottom"/>
            <w:vMerge w:val="restart"/>
          </w:tcPr>
          <w:p>
            <w:pPr>
              <w:ind w:left="5520"/>
              <w:spacing w:after="0"/>
              <w:rPr>
                <w:sz w:val="20"/>
                <w:szCs w:val="20"/>
                <w:color w:val="auto"/>
              </w:rPr>
            </w:pPr>
            <w:r>
              <w:rPr>
                <w:rFonts w:ascii="Arial" w:cs="Arial" w:eastAsia="Arial" w:hAnsi="Arial"/>
                <w:sz w:val="18"/>
                <w:szCs w:val="18"/>
                <w:color w:val="auto"/>
              </w:rPr>
              <w:t>27</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8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Three Months Ended</w:t>
      </w:r>
    </w:p>
    <w:p>
      <w:pPr>
        <w:jc w:val="center"/>
        <w:ind w:left="836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from continuing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(42,273)</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shares -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22,341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21,827</w:t>
            </w:r>
          </w:p>
        </w:tc>
        <w:tc>
          <w:tcPr>
            <w:tcW w:w="0" w:type="dxa"/>
            <w:vAlign w:val="bottom"/>
          </w:tcPr>
          <w:p>
            <w:pPr>
              <w:spacing w:after="0"/>
              <w:rPr>
                <w:sz w:val="1"/>
                <w:szCs w:val="1"/>
                <w:color w:val="auto"/>
              </w:rPr>
            </w:pPr>
          </w:p>
        </w:tc>
      </w:tr>
      <w:tr>
        <w:trPr>
          <w:trHeight w:val="255"/>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per share from continuing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Add back: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29"/>
        </w:trPr>
        <w:tc>
          <w:tcPr>
            <w:tcW w:w="8380" w:type="dxa"/>
            <w:vAlign w:val="bottom"/>
          </w:tcPr>
          <w:p>
            <w:pPr>
              <w:ind w:left="220"/>
              <w:spacing w:after="0"/>
              <w:rPr>
                <w:sz w:val="20"/>
                <w:szCs w:val="20"/>
                <w:color w:val="auto"/>
              </w:rPr>
            </w:pPr>
            <w:r>
              <w:rPr>
                <w:rFonts w:ascii="Arial" w:cs="Arial" w:eastAsia="Arial" w:hAnsi="Arial"/>
                <w:sz w:val="18"/>
                <w:szCs w:val="18"/>
                <w:color w:val="auto"/>
              </w:rPr>
              <w:t>Restructuring and other charges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and other losses (gains)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8380" w:type="dxa"/>
            <w:vAlign w:val="bottom"/>
          </w:tcPr>
          <w:p>
            <w:pPr>
              <w:ind w:left="220"/>
              <w:spacing w:after="0"/>
              <w:rPr>
                <w:sz w:val="20"/>
                <w:szCs w:val="20"/>
                <w:color w:val="auto"/>
              </w:rPr>
            </w:pPr>
            <w:r>
              <w:rPr>
                <w:rFonts w:ascii="Arial" w:cs="Arial" w:eastAsia="Arial" w:hAnsi="Arial"/>
                <w:sz w:val="18"/>
                <w:szCs w:val="18"/>
                <w:color w:val="auto"/>
              </w:rPr>
              <w:t>Goodwill impairment charges</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59,816</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sale of business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8380" w:type="dxa"/>
            <w:vAlign w:val="bottom"/>
          </w:tcPr>
          <w:p>
            <w:pPr>
              <w:ind w:left="220"/>
              <w:spacing w:after="0"/>
              <w:rPr>
                <w:sz w:val="20"/>
                <w:szCs w:val="20"/>
                <w:color w:val="auto"/>
              </w:rPr>
            </w:pPr>
            <w:r>
              <w:rPr>
                <w:rFonts w:ascii="Arial" w:cs="Arial" w:eastAsia="Arial" w:hAnsi="Arial"/>
                <w:sz w:val="18"/>
                <w:szCs w:val="18"/>
                <w:color w:val="auto"/>
              </w:rPr>
              <w:t>Transaction-related expenses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effect of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(13,409)</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adjustments, net of tax</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52,026</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9,753</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weighted average shares -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3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22,341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22,329</w:t>
            </w:r>
          </w:p>
        </w:tc>
        <w:tc>
          <w:tcPr>
            <w:tcW w:w="0" w:type="dxa"/>
            <w:vAlign w:val="bottom"/>
          </w:tcPr>
          <w:p>
            <w:pPr>
              <w:spacing w:after="0"/>
              <w:rPr>
                <w:sz w:val="1"/>
                <w:szCs w:val="1"/>
                <w:color w:val="auto"/>
              </w:rPr>
            </w:pPr>
          </w:p>
        </w:tc>
      </w:tr>
      <w:tr>
        <w:trPr>
          <w:trHeight w:val="254"/>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53"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have excluded the effect of amortization of intangible assets from the calculation of adjusted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from continuing operations presented above. Amortization of intangible assets is inconsistent in its amount and frequency and is significantly affected by the timing and size of our acquisitions.</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Restructuring and other charges: </w:t>
      </w:r>
      <w:r>
        <w:rPr>
          <w:rFonts w:ascii="Arial" w:cs="Arial" w:eastAsia="Arial" w:hAnsi="Arial"/>
          <w:sz w:val="18"/>
          <w:szCs w:val="18"/>
          <w:color w:val="auto"/>
        </w:rPr>
        <w:t>We have incurred charges due to the restructuring of various parts of our business. These restructuring</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have primarily consisted of costs associated with office space consolidations, including lease impairment charges and accelerated depreciation on lease-related property and equipment, and severance charges. Additionally, we have excluded the effect of a $0.8 million one-time charge incurred during the first quarter of 2020, related to redundant administrative costs in our corporate operations which is recorded within selling, general and administrative expenses on our consolidated statement of operations. We have excluded the effect of the restructuring and other charges from our non-GAAP measures to permit comparability with periods that were not impacted by these items.</w:t>
      </w:r>
    </w:p>
    <w:p>
      <w:pPr>
        <w:spacing w:after="0" w:line="13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Litigation and other losses (gains): </w:t>
      </w:r>
      <w:r>
        <w:rPr>
          <w:rFonts w:ascii="Arial" w:cs="Arial" w:eastAsia="Arial" w:hAnsi="Arial"/>
          <w:sz w:val="18"/>
          <w:szCs w:val="18"/>
          <w:color w:val="auto"/>
        </w:rPr>
        <w:t>We have excluded the effect of a loss in the first quarter of 2021 from an increase in the estimated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our liability for contingent consideration payments related to a business acquisition and a litigation settlement gain recognized in the first quarter of 2020 to permit comparability with periods that were not impacted by these items.</w:t>
      </w:r>
    </w:p>
    <w:p>
      <w:pPr>
        <w:spacing w:after="0" w:line="12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i w:val="1"/>
          <w:iCs w:val="1"/>
          <w:color w:val="auto"/>
        </w:rPr>
        <w:t xml:space="preserve">Goodwill impairment charges: </w:t>
      </w:r>
      <w:r>
        <w:rPr>
          <w:rFonts w:ascii="Arial" w:cs="Arial" w:eastAsia="Arial" w:hAnsi="Arial"/>
          <w:sz w:val="18"/>
          <w:szCs w:val="18"/>
          <w:color w:val="auto"/>
        </w:rPr>
        <w:t>We have excluded the effect of the goodwill impairment charges recognized in the first quarter of 2020 as</w:t>
      </w:r>
      <w:r>
        <w:rPr>
          <w:rFonts w:ascii="Arial" w:cs="Arial" w:eastAsia="Arial" w:hAnsi="Arial"/>
          <w:sz w:val="18"/>
          <w:szCs w:val="18"/>
          <w:i w:val="1"/>
          <w:iCs w:val="1"/>
          <w:color w:val="auto"/>
        </w:rPr>
        <w:t xml:space="preserve"> </w:t>
      </w:r>
      <w:r>
        <w:rPr>
          <w:rFonts w:ascii="Arial" w:cs="Arial" w:eastAsia="Arial" w:hAnsi="Arial"/>
          <w:sz w:val="18"/>
          <w:szCs w:val="18"/>
          <w:color w:val="auto"/>
        </w:rPr>
        <w:t>these are infrequent events and their exclusion permits comparability with periods that were not impacted by such charges.</w:t>
      </w:r>
    </w:p>
    <w:p>
      <w:pPr>
        <w:spacing w:after="0" w:line="10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i w:val="1"/>
          <w:iCs w:val="1"/>
          <w:color w:val="auto"/>
        </w:rPr>
        <w:t xml:space="preserve">Loss on sale of business: </w:t>
      </w:r>
      <w:r>
        <w:rPr>
          <w:rFonts w:ascii="Arial" w:cs="Arial" w:eastAsia="Arial" w:hAnsi="Arial"/>
          <w:sz w:val="18"/>
          <w:szCs w:val="18"/>
          <w:color w:val="auto"/>
        </w:rPr>
        <w:t>We excluded the effect of the loss on sale of a software-based solution within our Business Advisory segment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2020. Divestitures of businesses are infrequent and are not indicative of the ongoing performance of our business.</w:t>
      </w:r>
    </w:p>
    <w:p>
      <w:pPr>
        <w:spacing w:after="0" w:line="108" w:lineRule="exact"/>
        <w:rPr>
          <w:sz w:val="20"/>
          <w:szCs w:val="20"/>
          <w:color w:val="auto"/>
        </w:rPr>
      </w:pPr>
    </w:p>
    <w:p>
      <w:pPr>
        <w:jc w:val="both"/>
        <w:ind w:right="380"/>
        <w:spacing w:after="0" w:line="266" w:lineRule="auto"/>
        <w:rPr>
          <w:sz w:val="20"/>
          <w:szCs w:val="20"/>
          <w:color w:val="auto"/>
        </w:rPr>
      </w:pPr>
      <w:r>
        <w:rPr>
          <w:rFonts w:ascii="Arial" w:cs="Arial" w:eastAsia="Arial" w:hAnsi="Arial"/>
          <w:sz w:val="18"/>
          <w:szCs w:val="18"/>
          <w:i w:val="1"/>
          <w:iCs w:val="1"/>
          <w:color w:val="auto"/>
        </w:rPr>
        <w:t>Transaction-related expenses</w:t>
      </w:r>
      <w:r>
        <w:rPr>
          <w:rFonts w:ascii="Arial" w:cs="Arial" w:eastAsia="Arial" w:hAnsi="Arial"/>
          <w:sz w:val="18"/>
          <w:szCs w:val="18"/>
          <w:color w:val="auto"/>
        </w:rPr>
        <w:t>: To permit comparability with prior periods, we excluded the impact of third-party legal and accounting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in the first quarter of 2021 related to the acquisition of Unico Solution, Inc. and ForceIQ, Inc., which closed effective February 1, 2021 and November 1, 2020, respectively.</w:t>
      </w:r>
    </w:p>
    <w:p>
      <w:pPr>
        <w:spacing w:after="0" w:line="122" w:lineRule="exact"/>
        <w:rPr>
          <w:sz w:val="20"/>
          <w:szCs w:val="20"/>
          <w:color w:val="auto"/>
        </w:rPr>
      </w:pPr>
    </w:p>
    <w:p>
      <w:pPr>
        <w:jc w:val="both"/>
        <w:ind w:right="500"/>
        <w:spacing w:after="0" w:line="282" w:lineRule="auto"/>
        <w:rPr>
          <w:sz w:val="20"/>
          <w:szCs w:val="20"/>
          <w:color w:val="auto"/>
        </w:rPr>
      </w:pPr>
      <w:r>
        <w:rPr>
          <w:rFonts w:ascii="Arial" w:cs="Arial" w:eastAsia="Arial" w:hAnsi="Arial"/>
          <w:sz w:val="18"/>
          <w:szCs w:val="18"/>
          <w:i w:val="1"/>
          <w:iCs w:val="1"/>
          <w:color w:val="auto"/>
        </w:rPr>
        <w:t xml:space="preserve">Foreign currency transaction losses (gains), net: </w:t>
      </w:r>
      <w:r>
        <w:rPr>
          <w:rFonts w:ascii="Arial" w:cs="Arial" w:eastAsia="Arial" w:hAnsi="Arial"/>
          <w:sz w:val="18"/>
          <w:szCs w:val="18"/>
          <w:color w:val="auto"/>
        </w:rPr>
        <w:t>We have excluded the effect of foreign currency transaction losses and gains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calculation of adjusted EBITDA because the amount of each loss or gain is significantly affected by changes in foreign exchange rates.</w:t>
      </w:r>
    </w:p>
    <w:p>
      <w:pPr>
        <w:spacing w:after="0" w:line="108" w:lineRule="exact"/>
        <w:rPr>
          <w:sz w:val="20"/>
          <w:szCs w:val="20"/>
          <w:color w:val="auto"/>
        </w:rPr>
      </w:pPr>
    </w:p>
    <w:p>
      <w:pPr>
        <w:ind w:right="1020"/>
        <w:spacing w:after="0" w:line="282" w:lineRule="auto"/>
        <w:rPr>
          <w:sz w:val="20"/>
          <w:szCs w:val="20"/>
          <w:color w:val="auto"/>
        </w:rPr>
      </w:pPr>
      <w:r>
        <w:rPr>
          <w:rFonts w:ascii="Arial" w:cs="Arial" w:eastAsia="Arial" w:hAnsi="Arial"/>
          <w:sz w:val="18"/>
          <w:szCs w:val="18"/>
          <w:i w:val="1"/>
          <w:iCs w:val="1"/>
          <w:color w:val="auto"/>
        </w:rPr>
        <w:t xml:space="preserve">Tax effect of adjustments: </w:t>
      </w:r>
      <w:r>
        <w:rPr>
          <w:rFonts w:ascii="Arial" w:cs="Arial" w:eastAsia="Arial" w:hAnsi="Arial"/>
          <w:sz w:val="18"/>
          <w:szCs w:val="18"/>
          <w:color w:val="auto"/>
        </w:rPr>
        <w:t>The non-GAAP income tax adjustment reflects the incremental tax impact applicable to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w:t>
      </w:r>
    </w:p>
    <w:p>
      <w:pPr>
        <w:spacing w:after="0" w:line="10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have excluded the effects of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interest expense, net of interest income, and depreciation and amortization in the calculation of EBITDA, as these are customary exclusions as defined by the calculation of EBITDA to arrive at meaningful earnings from core operations excluding the effect of such items. Included within the depreciation and amortization adjustment is the amortization of capitalized implementation costs of our ERP and other related software, which is included within Selling, general and administrative expenses on our consolidated statement of operations.</w:t>
      </w:r>
    </w:p>
    <w:p>
      <w:pPr>
        <w:spacing w:after="0" w:line="12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i w:val="1"/>
          <w:iCs w:val="1"/>
          <w:color w:val="auto"/>
        </w:rPr>
        <w:t xml:space="preserve">Adjusted weighted average shares - diluted: </w:t>
      </w:r>
      <w:r>
        <w:rPr>
          <w:rFonts w:ascii="Arial" w:cs="Arial" w:eastAsia="Arial" w:hAnsi="Arial"/>
          <w:sz w:val="18"/>
          <w:szCs w:val="18"/>
          <w:color w:val="auto"/>
        </w:rPr>
        <w:t>As we reported a net loss for the first three months of 2020, GAAP diluted weighted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outstanding equals the basic weighted average shares outstanding for that period. The non-GAAP adjustments described above resulted in adjusted net income from continuing operations for the first three months of 2020. Therefore, we included the dilutive common stock equivalents in the calculation of adjusted diluted weighted average shares outstanding for that period.</w:t>
      </w:r>
    </w:p>
    <w:p>
      <w:pPr>
        <w:sectPr>
          <w:pgSz w:w="11900" w:h="16838" w:orient="portrait"/>
          <w:cols w:equalWidth="0" w:num="1">
            <w:col w:w="11240"/>
          </w:cols>
          <w:pgMar w:left="320" w:top="140" w:right="339" w:bottom="887"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887"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800"/>
        <w:spacing w:after="0" w:line="451" w:lineRule="auto"/>
        <w:rPr>
          <w:sz w:val="20"/>
          <w:szCs w:val="20"/>
          <w:color w:val="auto"/>
        </w:rPr>
      </w:pPr>
      <w:r>
        <w:rPr>
          <w:rFonts w:ascii="Arial" w:cs="Arial" w:eastAsia="Arial" w:hAnsi="Arial"/>
          <w:sz w:val="18"/>
          <w:szCs w:val="18"/>
          <w:b w:val="1"/>
          <w:bCs w:val="1"/>
          <w:color w:val="auto"/>
        </w:rPr>
        <w:t>Three Months Ended March 31, 2021 Compared to Three Months Ended March 31, 2020 Revenues</w:t>
      </w:r>
    </w:p>
    <w:p>
      <w:pPr>
        <w:ind w:right="140"/>
        <w:spacing w:after="0" w:line="252" w:lineRule="auto"/>
        <w:rPr>
          <w:sz w:val="20"/>
          <w:szCs w:val="20"/>
          <w:color w:val="auto"/>
        </w:rPr>
      </w:pPr>
      <w:r>
        <w:rPr>
          <w:rFonts w:ascii="Arial" w:cs="Arial" w:eastAsia="Arial" w:hAnsi="Arial"/>
          <w:sz w:val="18"/>
          <w:szCs w:val="18"/>
          <w:color w:val="auto"/>
        </w:rPr>
        <w:t>Revenues decreased $19.4 million, or 8.7%, to $203.2 million for the first quarter of 2021 from $222.6 million for the first quarter of 2020. Revenues in the first quarter of 2021 were negatively impacted by COVID-19 as some clients have reprioritized and delayed projects as a result of the pandemic, particularly within our Healthcare and Education segments, whereas revenues in the first quarter of 2020 were not significantly impacted by the pandemic. Conversely, the COVID-19 pandemic has strengthened demand for other services we provide, such as our cloud-based technology and analytics solutions within our Business Advisory segment and our restructuring and capital advisory solutions provided to organizations in transition in our Business Advisory segment.</w:t>
      </w:r>
    </w:p>
    <w:p>
      <w:pPr>
        <w:spacing w:after="0" w:line="15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Of the $19.4 million decrease in revenues, $10.5 million was attributable to a decrease in revenues from our full-time equivalents and $8.9 million was attributable to a decrease in revenues from our billable consultants.</w:t>
      </w:r>
    </w:p>
    <w:p>
      <w:pPr>
        <w:spacing w:after="0" w:line="14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decrease in full-time equivalent revenues was primarily attributable to a decrease in full-time equivalent revenues in our Healthcare segment, as discussed below in Segment Results. The decrease in full-time equivalent revenues reflected overall decreases in revenue per full-time equivalent and the average number of full-time equivalents in the first quarter of 2021 compared to the same prior year period.</w:t>
      </w:r>
    </w:p>
    <w:p>
      <w:pPr>
        <w:spacing w:after="0" w:line="14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decrease in billable consultant revenues reflected a decrease in demand for services in our Education and Healthcare segments, partially offset by a strengthened demand for services in our Business Advisory segment, as discussed below in Segment Results. The decrease in billable consultant revenues was primarily attributable to overall decreases in the consultant utilization rate, partially offset by an overall increase in the average number of billable consultants for the first quarter of 2021 compared to the same prior year period.</w:t>
      </w:r>
    </w:p>
    <w:p>
      <w:pPr>
        <w:spacing w:after="0" w:line="150" w:lineRule="exact"/>
        <w:rPr>
          <w:sz w:val="20"/>
          <w:szCs w:val="20"/>
          <w:color w:val="auto"/>
        </w:rPr>
      </w:pPr>
    </w:p>
    <w:p>
      <w:pPr>
        <w:jc w:val="both"/>
        <w:ind w:right="440"/>
        <w:spacing w:after="0" w:line="254" w:lineRule="auto"/>
        <w:rPr>
          <w:sz w:val="20"/>
          <w:szCs w:val="20"/>
          <w:color w:val="auto"/>
        </w:rPr>
      </w:pPr>
      <w:r>
        <w:rPr>
          <w:rFonts w:ascii="Arial" w:cs="Arial" w:eastAsia="Arial" w:hAnsi="Arial"/>
          <w:sz w:val="18"/>
          <w:szCs w:val="18"/>
          <w:color w:val="auto"/>
        </w:rPr>
        <w:t>In most of 2020 and the first quarter of 2021, the COVID-19 pandemic negatively impacted sales and elongated the sales cycle for new opportunities for certain services, particularly within our Healthcare and Education segments where some clients reprioritized or delayed certain projects. Given the uncertainties around the duration of the COVID-19 pandemic, we continue to remain cautious about revenue growth for the first half of 2021 when compared to the first half of 2020.</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COVID-19 pandemic has caused the need for many companies to accelerate their digital transformation to drive operational efficiencies, better engage with their customers, and make better data-driven decisions. This has resulted in strong demand for our digital, technology and analytic offerings, particularly within our Business Advisory segment. Indicative of our expectations for future growth in this segment, we continue to make investments in these offerings, both organically and through strategic acquisitions, such as our acquisitions of ForceIQ in November 2020 and Unico Solutions in February 2021, and the addition of new offerings and capabilities within this segment where we see strategic opportunities.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Direct costs, excluding amortization of intangible assets and software development costs, decreased $8.1 million, or 5.2%, to $148.1 million for the three months ended March 31, 2021, from $156.2 million for the three months ended March 31, 2020. The $8.1 million decrease primarily related to a $3.0 million decrease in salaries and related expenses for our revenue-generating professionals, a $1.3 million decrease in share-based compensation expense for our revenue-generating professionals, a $1.3 million decrease in performance bonus expense for our revenue-generating professionals, and a $1.3 million decrease in contractor expense. As a percentage of revenues, direct costs increased to 72.9% during the first quarter of 2021 compared to 70.2% during the first quarter of 2020, primarily due to the decrease in revenues.</w:t>
      </w:r>
    </w:p>
    <w:p>
      <w:pPr>
        <w:spacing w:after="0" w:line="15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Total direct costs for the three months ended March 31, 2021 included $0.9 million of amortization expense for internal software development costs and intangible assets, compared to $1.3 million of amortization expense for the same prior year period. Intangible asset amortization included within direct costs for the three months ended March 31, 2021 and 2020 primarily related to technology and software, certain customer relationships and customer contracts acquired in connection with our business acquisitions. See Note 4 "Goodwill and Intangible Assets" within the notes to our consolidated financial statements for additional information on our intangible assets.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Losses (Gains), Net</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Selling, general and administrative expenses decreased by $3.7 million, or 8.5%, to $39.8 million in the first quarter of 2021 from $43.4 million in the first quarter of 2020. The overall $3.7 million decrease primarily related to a $4.2 million decrease in practice administration and meetings expenses; $2.5 million decrease in promotion and marketing expenses; a $ 1.4 million decrease in share-based compensation expense for our support personnel; a $0.7 million decrease in training expenses; and a $0.7 million decrease in salaries and related expenses for our support personnel. These decreases were partially offset by a $5.5 million increase in deferred compensation expense attributable to the change in the market value of our deferred compensation liability. During the first quarter of 2021, the market value of our deferred compensation liability increased by $ 0.8 million, compared to a $4.7 million decrease in the first quarter of 2020. This $ 5.5 million increase in expense is offset by a $5.5 million increase in the gain recognized for the change in the market value of investments that are used to fund our deferred compensation liability and recognized in other income (expense), net. The decreases in practice administration and meetings expenses, promotion and marketing expenses, and training expenses primarily relate to the cancellation or delay of in-person meetings and events and business travel due to the COVID-19 pandemic. The decrease in share-based compensation expense primarily related to a decrease in the expected funding of performance-based share awards for our</w:t>
      </w:r>
    </w:p>
    <w:p>
      <w:pPr>
        <w:sectPr>
          <w:pgSz w:w="11900" w:h="16838" w:orient="portrait"/>
          <w:cols w:equalWidth="0" w:num="1">
            <w:col w:w="11240"/>
          </w:cols>
          <w:pgMar w:left="320" w:top="140" w:right="339" w:bottom="846"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846"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executive officers recorded in the first quarter of 2021. As a percentage of revenues, selling, general and administrative expenses increased to 19.6% during the first quarter of 2021 compared to 19.5% during the first quarter of 2020. This increase was primarily attributable to the change in the market value of our deferred compensation liability and the decrease in revenues, mostly offset by the decreases in practice administration and meetings expenses and promotion and marketing expenses.</w:t>
      </w:r>
    </w:p>
    <w:p>
      <w:pPr>
        <w:spacing w:after="0" w:line="15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Restructuring charges for the first quarter of 2021 were $0.6 million, compared to $1.6 million for the first quarter of 2020. The $0.6 million charge recognized in the first quarter of 2021 primarily related to rent and related expenses, net of sublease income, and accelerated depreciation on furniture and fixtures for vacated office spaces. The $1.6 million charge recognized in the first quarter of 2020 primarily related to a $1.2 million accrual for the termination of a third-party advisor agreement; $0.3 million related to workforce reductions to better align resources with market demand; and $0.1 million related to workforce reductions in our corporate operations. See Note 8 "Restructuring Charges" within the notes to our consolidated financial statements for additional information on our restructuring charges.</w:t>
      </w:r>
    </w:p>
    <w:p>
      <w:pPr>
        <w:spacing w:after="0" w:line="15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Litigation and other gains totaled $0.2 million for the first quarter of 2020, which consisted of a litigation settlement gain for the resolution of a claim that was settled in the first quarter of 2020.</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Depreciation and amortization expense decreased $0.7 million, or 11.2%, to $5.4 million for the three months ended March 31, 2021 compared to $6.1 million for the three months ended March 31, 2020. The $0.7 million decrease in depreciation and amortization expense was primarily attributable to decreasing amortization expense for customer relationships acquired in business acquisitions due to the accelerated basis of amortization in prior periods, including the customer relationships acquired in our Studer Group acquisition; and customer relationships acquired in other business acquisitions that were fully amortized in prior periods; as well as a decrease in depreciation expense for leasehold improvements and furniture and fixtures related to vacated office spaces. Intangible asset amortization expense included within operating expenses primarily related to certain customer relationships, trade names, and non-competition agreements acquired in connection with our business acquisitions. See Note 4 "Goodwill and Intangible Assets" within the notes to our consolidated financial statements for additional information on our intangible assets.</w:t>
      </w:r>
    </w:p>
    <w:p>
      <w:pPr>
        <w:spacing w:after="0" w:line="15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During the first quarter of 2020, we recorded $59.8 million of non-cash pretax goodwill impairment charges related to our Strategy and Innovation and Life Sciences reporting units within our Business Advisory segment; primarily related to the expected decline in sales, increased uncertainty in the backlog and a decrease in the demand for the services these reporting units provide, as a result of the COVID-19 pandemic. These charges were non-cash in nature and did not affect our liquidity or debt covenants. See Note 4 "Goodwill and Intangible Assets" within the notes to our consolidated financial statements for additional information on the charges.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Operating income increased $54.1 million to income of $8.2 million in the first quarter of 2021 from a loss of $45.9 million in the first quarter of 2020. This increase is primarily attributable to the $59.8 million of non-cash pretax goodwill impairment charges related to our Business Advisory segment that were recognized in the first quarter of 2020. Operating margin, which is defined as operating income expressed as a percentage of revenues, was 4.1% for the three months ended March 31, 2021, compared to (20.6)% for the three months ended March 31, 2020. The increase in operating margin in the first quarter of 2021 was primarily attributable to the goodwill impairment charges recognized in the first quarter of 2020, as well as the decreases in practice administration and meetings expenses and promotion and marketing expenses in the first quarter of 2021 compared to the same prior year period. These increases to the operating margin were partially offset by the decrease in revenues and the change in the market value of our deferred compensation liability. See Note 4 "Goodwill and Intangible Assets" within the notes to our consolidated financial statements for additional information on the non-cash goodwill impairment charges.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Income (Expense), Net</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Interest expense, net of interest income decreased $0.6 million to $1.7 million in the first quarter of 2021 from $2.3 million in the first quarter of 2020. The decrease in interest expense was primarily attributable to lower levels of borrowing under our credit facility during the first quarter of 2021 compared to the same prior year period. See Note 7 "Financing Arrangements" within the notes to our consolidated financial statements for additional information about our senior secured credit facility.</w:t>
      </w:r>
    </w:p>
    <w:p>
      <w:pPr>
        <w:spacing w:after="0" w:line="15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Other expense, net decreased $5.7 million to a net gain of $0.4 million in the first quarter of 2021 from a net loss of $5.3 million in the first quarter of 2020. The decrease in other expense, net was primarily attributable to a $0.8 million gain recognized in the first quarter of 2021 for the market value of our investments that are used to fund our deferred compensation liability, compared to a $ 4.7 million loss in the first quarter of 2020. Additionally, other expense, net includes $0.4 million of foreign currency transaction losses in the first quarter of 2021 compared to $0.5 million of foreign currency transaction losses recognized in the first quarter of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9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For the three months ended March 31, 2021, our effective tax rate was 22.1% as we recognized income tax expense from continuing operations of $1.5 million on income from continuing operations of $6.9 million. The effective tax rate of 22.1% was more favorable than the statutory rate, inclusive of state income taxes, of 26.6%, primarily due to a discrete tax benefit for share-based compensation awards that vested during the first quarter of 2021. This favorable item was partially offset by certain nondeductible expense items.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the three months ended March 31, 2020, our effective tax rate was 21.0% as we recognized an income tax benefit from continuing operations of $11.2 million on a loss from continuing operations of $53.5 million. The effective tax rate of 21.0% was less favorable than the statutory rate, inclusive of state income taxes, of 26.0% primarily due to certain nondeductible expense items, non-deductible losses on our investments used to fund our deferred compensation liability, and the nondeductible portion of the goodwill impairment charges recorded during the first quarter of 2020. These unfavorable items were partially offset by a discrete tax benefit for share-based compensation awards that vested during the quarter and the discrete tax benefit for the remeasurement of a portion of our income tax receivable as a result of the enactment of the CARES Act in the first quarter of 2020.</w:t>
      </w:r>
    </w:p>
    <w:p>
      <w:pPr>
        <w:spacing w:after="0" w:line="15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CARES Act, which was signed into law on March 27, 2020, is an approximately $2 trillion emergency economic stimulus package in response to the COVID-19 outbreak, which among other items, includes income tax provisions relating to net operating loss carryback periods and technical corrections to tax depreciation methods for qualified improvement property. During 2020, as a result of the CARES Act, we recognized a $1.5 million tax benefit related to the remeasurement of a portion of our income tax receivable for the federal net operating loss incurred in 2018 and the expected federal net operating loss in 2020 that will be carried back to prior year income, both for a refund at the higher, prior year tax rate.</w:t>
      </w:r>
    </w:p>
    <w:p>
      <w:pPr>
        <w:spacing w:after="0" w:line="151" w:lineRule="exact"/>
        <w:rPr>
          <w:sz w:val="20"/>
          <w:szCs w:val="20"/>
          <w:color w:val="auto"/>
        </w:rPr>
      </w:pPr>
    </w:p>
    <w:p>
      <w:pPr>
        <w:ind w:right="140"/>
        <w:spacing w:after="0" w:line="438" w:lineRule="auto"/>
        <w:rPr>
          <w:sz w:val="20"/>
          <w:szCs w:val="20"/>
          <w:color w:val="auto"/>
        </w:rPr>
      </w:pPr>
      <w:r>
        <w:rPr>
          <w:rFonts w:ascii="Arial" w:cs="Arial" w:eastAsia="Arial" w:hAnsi="Arial"/>
          <w:sz w:val="18"/>
          <w:szCs w:val="18"/>
          <w:color w:val="auto"/>
        </w:rPr>
        <w:t xml:space="preserve">See Note 12 "Income Taxes" within the notes to our consolidated financial statements for additional information on our income tax expense. </w:t>
      </w:r>
      <w:r>
        <w:rPr>
          <w:rFonts w:ascii="Arial" w:cs="Arial" w:eastAsia="Arial" w:hAnsi="Arial"/>
          <w:sz w:val="18"/>
          <w:szCs w:val="18"/>
          <w:b w:val="1"/>
          <w:bCs w:val="1"/>
          <w:color w:val="auto"/>
        </w:rPr>
        <w:t>Net Income from Continuing Operations and Earnings per Share</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Net income from continuing operations increased $47.7 million to $ 5.4 million for the three months ended March 31, 2021 from a net loss from continuing operations of $42.3 million for the same period last year. This increase is primarily attributable to the $59.8 million of non-cash pretax goodwill impairment charges related to our Business Advisory segment recognized in the first quarter of 2020 . As a result of the increase in net income from continuing operations, diluted earnings per share from continuing operations for the first quarter of 2021 was $0.24 compared to a loss per share from continuing operations of $1.94 for the first quarter of 2020. The non-cash goodwill impairment charges had a $2.19 unfavorable impact on diluted earnings per share from continuing operations for the first quarter of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9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EBITDA increased $ 58.9 million to earnings of $15.2 million for the three months ended March 31, 2021 from a loss of $43.7 million for the three months ended March 31, 2020. Adjusted EBITDA decreased $2.6 million to $16.5 million in the first quarter of 2021 from $19.0 million in the first quarter of 2020. The increase in EBITDA was primarily attributable to the non-cash goodwill impairment charges of $ 59.8 million recognized in the first quarter of 2020. The decrease in adjusted EBITDA was primarily attributable to the decrease in segment operating income, as discussed below in Segment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 and Adjusted Earnings per Share</w:t>
      </w:r>
    </w:p>
    <w:p>
      <w:pPr>
        <w:spacing w:after="0" w:line="19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Adjusted net income from continuing operations decreased $2.0 million to $ 7.8 million in the first quarter of 2021 compared to $9.8 million in the first quarter of 2020. As a result of the decrease in adjusted net income from continuing operations, adjusted diluted earnings per share from continuing operations was $0.35 for the first quarter of 2021, compared to $0.44 for the first quarter of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Healthcare segment revenues decreased $15.9 million, or 16.6%, to $ 79.7 million for the first quarter of 2021 from $95.6 million for the first quarter of 2020, primarily due to the negative impact of the COVID-19 pandemic on demand for our services within this segment, as some clients reprioritized and delayed certain projects as a result of the uncertainties surrounding the pandemic.</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three months ended March 31, 2021, revenues from fixed-fee engagements; time-and-expense engagements; performance-based arrangements; and software support, maintenance and subscription arrangements represented 60.5%, 14.3%, 18.4%, and 6.8% of this segment’s revenues, respectively, compared to 58.4%, 15.4%, 19.8%, and 6.4% of this segment’s revenues, respectively, for the same prior year period. Performance-based fee revenue was $14.7 million for the first quarter of 2021 compared to $18.9 million for the first quarter of 2020. The level of performance-based fees earned may vary based on our clients’ risk sharing preferences and the mix of services we provide.</w:t>
      </w:r>
    </w:p>
    <w:p>
      <w:pPr>
        <w:spacing w:after="0" w:line="15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Of the overall $15.9 million decrease in revenues, $10.0 million was attributable to a decrease in revenues from our full-time equivalents and $5.9 million was attributable to a decrease in revenues from our billable consultants. The decrease in full-time equivalent revenues reflected decreases in revenue per full-time equivalent and the average number of full-time equivalents in the first quarter of 2021 compared to the same prior year period. The decrease in revenues attributable to our billable consultants reflected decreases in the average number of billable consultants and the consultant utilization rate, partially offset by an increase in the average billing rate in the first quarter of 2021 compared to the same prior year period.</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Healthcare segment operating income decreased $ 3.6 million, or 14.8%, to $20.5 million for the three months ended March 31, 2021 from $24.1 million for the three months ended March 31, 2020. The Healthcare segment operating margin, defined as segment operating income expressed as a percentage of segment revenues, increased to 25.7% for the first quarter of 2021 from 25.2% in the same period last year. The increase in this segment’s operating margin was primarily attributable to decreases in practice administration and meetings expenses, performance bonus and share-based compensation expense for our revenue-generating professionals, product and event costs, and promotion and marketing expenses, largely offset by an increase in salaries and related expenses for our revenue-generating professionals as a percentage of revenues.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Business Advisory segment revenues increased $8.0 million, or 12.3%, to $72.9 million for the first quarter of 2021 from $64.9 million for the first quarter of 2020, primarily related to strengthened demand for our cloud-based technology and analytics solutions, our strategy and innovation solutions, and our restructuring and capital advisory solutions provided to organizations in transition.</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the three months ended March 31, 2021, revenues from fixed-fee engagements; time-and-expense engagements; performance-based arrangements; and software support, maintenance and subscription arrangements represented 41.0%, 51.6%, 4.7%, and 2.7% of this segment’s revenues, respectively, compared to 39.1%, 57.9%, 1.0%, and 2.0% of this segment's revenues, respectively, for the same prior year period. Performance-based fee revenue was $3.4 million for the first quarter of 2021 compared to $0.6 million for the first quarter of 2020. The level of performance-based fees earned may vary based on our clients’ preferences, the mix of services we provide, and the timing of transactions or milestones.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Of the overall $8.0 million increase in revenues, $7.9 million was attributable to an increase in revenues from our billable consultants and</w:t>
      </w:r>
    </w:p>
    <w:p>
      <w:pPr>
        <w:spacing w:after="0" w:line="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$0.1 million was attributable to an increase in revenues from our full-time equivalents. The increase in revenues from our billable consultants reflected increases in the average number of billable consultants and the average billing rate, partially offset by a decrease in the consultant utilization rate in the first quarter of 2021 compared to the same prior year period. The slight increase in revenues generated by our full-time equivalents reflected an increase in the average number of full-time equivalents, largely offset by a decrease in revenue per full-time equivalent in the first quarter of 2021 compared to the same prior year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Business Advisory segment operating income increased by $ 3.2 million, or 32.9%, to $13.1 million for the three months ended March 31, 2021 from $9.8 million for the three months ended March 31, 2020. The Business Advisory segment operating margin increased to 17.9% for the first quarter of 2021 from 15.2% in the same period last year. The increase in this segment’s operating margin was primarily attributable to decreases in restructuring charges and promotion and marketing expenses, partially offset by an increase in performance bonus expense for our revenue-generating professionals.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Education segment revenues decreased $11.5 million, or 18.5%, to $50.6 million for the first quarter of 2021 from $62.1 million for the first quarter of 2020. The decrease in revenues was related to the negative impact of the COVID-19 pandemic on demand for this segment's services as some clients reprioritized and delayed certain projects as a result of the uncertainties surrounding the pandemic.</w:t>
      </w:r>
    </w:p>
    <w:p>
      <w:pPr>
        <w:spacing w:after="0" w:line="148"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During the three months ended March 31, 2021, revenues from fixed-fee engagements; time-and-expense engagements; and software support, maintenance and subscription arrangements represented 30.1%, 56.9%, and 13.0% of this segment’s revenues, respectively, compared to 21.2%, 70.3%, and 8.5% of this segment’s revenues, respectively, for the same prior year period.</w:t>
      </w:r>
    </w:p>
    <w:p>
      <w:pPr>
        <w:spacing w:after="0" w:line="14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Of the overall $11.5 million decrease in revenues, $10.9 million was attributable to a decrease in revenues from our billable consultants and $0.6 million was attributable to a decrease in revenues from our full-time equivalents. The decrease in revenues attributable to our billable consultants reflected decreases in the consultant utilization rate, average billing rate, and average number of billable consultants in the first quarter of 2021 compared to the same prior year period. The decrease in revenues from our full-time equivalents was primarily driven by a decreased use of contractors and project consultants. The overall decrease in full-time equivalent revenues reflected a decrease in the average number of full-time equivalents, partially offset by an increase in revenue per full-time equivalent in the first quarter of 2021 compared to the same prior year period.</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Education segment operating income decreased $4.5 million, or 34.0% to $8.7 million for the three months ended March 31, 2021 from $13.1 million for the three months ended March 31, 2020. The Education segment operating margin decreased to 17.1% for the first quarter of</w:t>
      </w:r>
    </w:p>
    <w:p>
      <w:pPr>
        <w:spacing w:after="0" w:line="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2021 from 21.1% in the same period last year. The decrease in this segment’s operating margin was primarily attributable to an increase in salaries and related expenses for our revenue generating professionals as a percentage of revenues; partially offset by decreases in contractor expense, promotion and marketing expenses, and performance bonus expense for our revenue-generating professionals.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Cash and cash equivalents decreased $45.6 million to $21.6 million at March 31, 2021 from $67.2 million at December 31, 2020. As of March 31, 2021, our primary sources of liquidity are cash on hand, cash flows from our U.S. operations, and borrowing capacity available under our credit facility.</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8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19"/>
                <w:szCs w:val="19"/>
                <w:color w:val="auto"/>
              </w:rPr>
            </w:pPr>
          </w:p>
        </w:tc>
      </w:tr>
      <w:tr>
        <w:trPr>
          <w:trHeight w:val="223"/>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Flows (in thousands):</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(56,146)</w:t>
            </w:r>
          </w:p>
        </w:tc>
      </w:tr>
      <w:tr>
        <w:trPr>
          <w:trHeight w:val="229"/>
        </w:trPr>
        <w:tc>
          <w:tcPr>
            <w:tcW w:w="8620" w:type="dxa"/>
            <w:vAlign w:val="bottom"/>
            <w:gridSpan w:val="2"/>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(8,037)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(18,395)</w:t>
            </w:r>
          </w:p>
        </w:tc>
      </w:tr>
      <w:tr>
        <w:trPr>
          <w:trHeight w:val="229"/>
        </w:trPr>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214,089</w:t>
            </w:r>
          </w:p>
        </w:tc>
      </w:tr>
      <w:tr>
        <w:trPr>
          <w:trHeight w:val="230"/>
        </w:trPr>
        <w:tc>
          <w:tcPr>
            <w:tcW w:w="8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48"/>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139,405</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cash used in operating activities totaled $82.8 million for the three months ended March 31, 2021, compared to $56.1 million for the three months ended March 31, 2020.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increase in cash used in operating activities for the first three months of 2021 compared to the same prior year period was primarily attributable to a decrease in cash collections, partially offset by a decrease in the amount paid for annual performance bonuses in the first quarter of 2021 compared to the first quarter of 2020, a decrease in payments to employees for salaries and related benefits, and a decrease in selling, general and administrative expenses during the first three months of 2021 compared to the first three months of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was $8.0 million and $18.4 million for the three months ended March 31, 2021 and 2020, respectively.</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use of cash in the first three months of 2021 primarily consisted of $6.0 million for the purchase of a business; $1.4 million for payments related to internally developed software; and $0.6 million for purchases of property and equipment, primarily related to purchases of leasehold improvements for certain office spaces and computers and related equipment.</w:t>
      </w:r>
    </w:p>
    <w:p>
      <w:pPr>
        <w:spacing w:after="0" w:line="148"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color w:val="auto"/>
        </w:rPr>
        <w:t>The use of cash in the first three months of 2020 primarily consisted of $13.0 million for the purchase of an additional convertible debt investment in</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Shorelight Holdings, LLC; $2.9 million for payments related to internally developed software; $1.5 million for contributions to our life insurance policies which fund our deferred compensation plan; and $1.0 million for purchases of property and equipment, primarily related to purchases of furniture and leasehold improvements for new office spaces in certain locations.</w:t>
      </w:r>
    </w:p>
    <w:p>
      <w:pPr>
        <w:spacing w:after="0" w:line="2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estimate that cash utilized for purchases of property and equipment and software development in 2021 will total approximately $12 million to $18 million; primarily consisting of leasehold improvements for certain office locations, software development costs, and information technology equipment.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9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Net cash provided by financing activities was $45.1 million and $214.1 million for the three months ended March 31, 2021 and March 31, 2020, respectively.</w:t>
      </w:r>
    </w:p>
    <w:p>
      <w:pPr>
        <w:spacing w:after="0" w:line="14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During the first three months of 2021, we borrowed $89.0 million, primarily to fund our annual performance bonus payment, and made repayments on our borrowings of $24.1 million. Additionally, during the first three months of 2021, we repurchased and retired $11.5 million of our common stock under our 2020 Share Repurchase Program, as defined below.</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the first three months of 2020, we borrowed $281.0 million under our credit facility, including $ 125.0 million prior to March 31, 2020 to maintain excess cash and support liquidity during the period of uncertainty created by the COVID-19 pandemic, as well as to fund our annual performance bonus payment. During the first quarter of 2020, we made repayments on our borrowings of $38.1 million. Additionally, we repurchased and retired $20.9 million of our common stock under our 2015 Share Repurchase Program, as defined below, and settled $1.2 million of share repurchases that were accrued as of December 31,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November 2020, our board of directors authorized a share repurchase program (the “2020 Share Repurchase Program”) permitting us to repurchase up to $50 million of our common stock through December 31, 2021. The 2020 Share Repurchase Program was authorized subsequent to the expiration of our prior share repurchase program (the “2015 Share Repurchase Program”) on October 31, 2020. The 2015 Share Repurchase Program permitted us to repurchase up to $125 million of our common stock through October 31, 2020. The 2020 Share Repurchase Program and 2015 Share Repurchase Program are collectively known as the “Share Repurchase Programs.” The amount and timing of repurchases under the Share Repurchase Programs were and will continue to be determined by management and depend on a variety of factors, including the trading price of our common stock, capacity under our credit facility, general market and business conditions, and applicable legal requirements.</w:t>
      </w:r>
    </w:p>
    <w:p>
      <w:pPr>
        <w:spacing w:after="0" w:line="151" w:lineRule="exact"/>
        <w:rPr>
          <w:sz w:val="20"/>
          <w:szCs w:val="20"/>
          <w:color w:val="auto"/>
        </w:rPr>
      </w:pPr>
    </w:p>
    <w:p>
      <w:pPr>
        <w:jc w:val="both"/>
        <w:ind w:right="500"/>
        <w:spacing w:after="0" w:line="261" w:lineRule="auto"/>
        <w:rPr>
          <w:sz w:val="20"/>
          <w:szCs w:val="20"/>
          <w:color w:val="auto"/>
        </w:rPr>
      </w:pPr>
      <w:r>
        <w:rPr>
          <w:rFonts w:ascii="Arial" w:cs="Arial" w:eastAsia="Arial" w:hAnsi="Arial"/>
          <w:sz w:val="18"/>
          <w:szCs w:val="18"/>
          <w:color w:val="auto"/>
        </w:rPr>
        <w:t>Under the 2020 Share Repurchase Program, we repurchased and retired 245,718 shares for $13.2 million in the first quarter of 2021 of which $1.7 million settled in the second quarter of 2021. As of March 31, 2021, $31.8 million remained available for share repurchases.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93"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At March 31, 2021, we had $265.0 million outstanding under our senior secured credit facility and $3.2 million outstanding under a promissory note, as discussed below.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$ 150 million, subject to customary conditions and the approval of any lender whose commitment would be increased, resulting in a maximum available principal amount under the Amended Credit Agreement of $750 million. Borrowings under the Amended Credit Agreement may be used for working capital, capital expenditures, acquisitions of businesses, share repurchases, and general corporate purposes.</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1.125% per annum and 1.875% per annum, in the case of LIBOR borrowings, or between 0.125% per annum and 0.875% per annum, in the case of base rate loans, based upon our Consolidated Leverage Ratio at such time.</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 addition, we have the right to permanently reduce or terminate the unused portion of the commitments provided under the Amended Credit Agreement at any time.</w:t>
      </w:r>
    </w:p>
    <w:p>
      <w:pPr>
        <w:spacing w:after="0" w:line="148"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1" w:lineRule="exact"/>
        <w:rPr>
          <w:sz w:val="20"/>
          <w:szCs w:val="20"/>
          <w:color w:val="auto"/>
        </w:rPr>
      </w:pPr>
    </w:p>
    <w:p>
      <w:pPr>
        <w:ind w:right="180" w:firstLine="8"/>
        <w:spacing w:after="0" w:line="250" w:lineRule="auto"/>
        <w:tabs>
          <w:tab w:leader="none" w:pos="2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4.00 to 1.00 upon the occurrence of certain transactions, and (ii) 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March 31, 2021 and December 31, 2020, we were in compliance with these financial covenants. Our Consolidated Leverage Ratio as of March 31, 2021 was 2.64 to 1.00, compared to 1.94 to 1.00 as of December 31, 2020. Our Consolidated Interest Coverage Ratio as of March 31, 2021 was 13.00 to 1.00, compared to 12.51 to</w:t>
      </w:r>
    </w:p>
    <w:p>
      <w:pPr>
        <w:spacing w:after="0" w:line="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1.00 as of December 31, 2020.</w:t>
      </w:r>
    </w:p>
    <w:p>
      <w:pPr>
        <w:spacing w:after="0" w:line="171" w:lineRule="exact"/>
        <w:rPr>
          <w:sz w:val="20"/>
          <w:szCs w:val="20"/>
          <w:color w:val="auto"/>
        </w:rPr>
      </w:pPr>
    </w:p>
    <w:p>
      <w:pPr>
        <w:jc w:val="both"/>
        <w:ind w:right="220"/>
        <w:spacing w:after="0" w:line="278" w:lineRule="auto"/>
        <w:rPr>
          <w:sz w:val="20"/>
          <w:szCs w:val="20"/>
          <w:color w:val="auto"/>
        </w:rPr>
      </w:pPr>
      <w:r>
        <w:rPr>
          <w:rFonts w:ascii="Arial" w:cs="Arial" w:eastAsia="Arial" w:hAnsi="Arial"/>
          <w:sz w:val="17"/>
          <w:szCs w:val="17"/>
          <w:color w:val="auto"/>
        </w:rPr>
        <w:t>The Amended Credit Agreement contains restricted payment provisions, including a potential limit on the amount of dividends we may pay. Pursuant to the terms of the Amended Credit Agreement, if our Consolidated Leverage Ratio is greater than 3.25, the amount of dividends and other Restricted Payments (as defined in the Amended Credit Agreement) we may pay is limited to an amount up to $25 million.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Principal borrowings outstanding under the Amended Credit Agreement at March 31, 2021 and December 31, 2020 totaled $265.0 million and $200.0 million, respectively. These borrowings carried a weighted average interest rate of 2.4% at March 31, 2021 and 2.5% at December 31, 2020, including the impact of the interest rate swaps described in Note 9 “Derivative Instruments and Hedging Activity” within the notes to the consolidated financial statements. The borrowing capacity under the revolving credit facility is reduced by any outstanding borrowings under the revolving credit facility and outstanding letters of credit. At March 31, 2021, we had outstanding letters of credit totaling $0.8 million, which are primarily used as security deposits for our office facilities. As of March 31, 2021, the unused borrowing capacity under the revolving credit facility was $334.2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9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At March 31, 2021, the outstanding principal amount of the promissory note was $3.2 million, and the aircraft had a carrying amount of $4.3 million. At December 31, 2020, the outstanding principal amount of the promissory note was $3.3 million, and the aircraft had a carrying amount of $4.4 million.</w:t>
      </w:r>
    </w:p>
    <w:p>
      <w:pPr>
        <w:spacing w:after="0" w:line="158" w:lineRule="exact"/>
        <w:rPr>
          <w:sz w:val="20"/>
          <w:szCs w:val="20"/>
          <w:color w:val="auto"/>
        </w:rPr>
      </w:pPr>
    </w:p>
    <w:p>
      <w:pPr>
        <w:ind w:right="1780"/>
        <w:spacing w:after="0" w:line="438" w:lineRule="auto"/>
        <w:rPr>
          <w:sz w:val="20"/>
          <w:szCs w:val="20"/>
          <w:color w:val="auto"/>
        </w:rPr>
      </w:pPr>
      <w:r>
        <w:rPr>
          <w:rFonts w:ascii="Arial" w:cs="Arial" w:eastAsia="Arial" w:hAnsi="Arial"/>
          <w:sz w:val="18"/>
          <w:szCs w:val="18"/>
          <w:color w:val="auto"/>
        </w:rPr>
        <w:t xml:space="preserve">For further information, see Note 7 “Financing Arrangements” within the notes to the consolidated financial statements. </w:t>
      </w:r>
      <w:r>
        <w:rPr>
          <w:rFonts w:ascii="Arial" w:cs="Arial" w:eastAsia="Arial" w:hAnsi="Arial"/>
          <w:sz w:val="18"/>
          <w:szCs w:val="18"/>
          <w:b w:val="1"/>
          <w:bCs w:val="1"/>
          <w:color w:val="auto"/>
        </w:rPr>
        <w:t>Future Financing Needs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current primary financing need is to support our operations during the COVID-19 pandemic. The pandemic has created significant volatility and uncertainty in the economy, which could limit our access to capital resources and could increase our borrowing costs. In order to support our liquidity during the pandemic, we took proactive measures to increase available cash on hand, including, but not limited to, borrowing under our senior secured credit facility in the first quarter of 2020 and reducing discretionary operating and capital expenses. To further support our liquidity, we elected to defer the deposit of our employer portion of social security taxes beginning in April 2020 and through December 2020, which we expect to pay in equal installments in the fourth quarters of 2021 and 2022, as provided for under the CARES Act. Our long-term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and the borrowing capacity available under our revolving credit facility will be adequate to support our current financing needs and long-term growth strategy. Our ability to secure additional financing, if needed, in the future will depend on several factors, including our future profitability, the quality of our accounts receivable and unbilled services, our relative levels of debt and equity, and the overall condition of the credit markets.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9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2020. As of March 31, 2021, borrowings outstanding under our senior secured credit facility totaled $265.0 million compared to $200.0 million at December 31, 2020. See the "Liquidity and Capital Resources" section above and Note 7 "Financing Arrangements" within the notes to our consolidated financial statements for additional information on our outstanding borrowings as of March 31, 2021. There have been no other material changes to our contractual obligations since December 31,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Management’s discussion and analysis of financial condition and results of operations is based upon our consolidated financial statements, which have been prepared in accordance with accounting principles generally accepted in the United States of America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there are five accounting policies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w:t>
      </w:r>
    </w:p>
    <w:p>
      <w:pPr>
        <w:sectPr>
          <w:pgSz w:w="11900" w:h="16838" w:orient="portrait"/>
          <w:cols w:equalWidth="0" w:num="1">
            <w:col w:w="11220"/>
          </w:cols>
          <w:pgMar w:left="320" w:top="140" w:right="359" w:bottom="1008"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008"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Policies" in our Annual Report on Form 10-K for the year ended December 31, 2020. There have been no material changes to our other critical accounting policies during the first three months of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93"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Refer to Note 3 "New Accounting Pronouncements" within the notes to the consolidated financial statements for information on new accounting pronouncements.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Group Hiring</w:t>
      </w:r>
    </w:p>
    <w:p>
      <w:pPr>
        <w:spacing w:after="0" w:line="18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April 5, 2021, we hired approximately 300 full-time equivalent professionals within our Healthcare operating segment. These additional professionals will expand our capacity to provide revenue cycle billing, collections, insurance verification and charge integrity services to our healthcare clients. These professionals will serve new and existing clients in our Healthcare managed services solution, including serving under a short-term contract with an existing client which we entered into in connection with this group hire. The hiring of these professionals is not significant to our consolidated financial statements.</w:t>
      </w:r>
    </w:p>
    <w:p>
      <w:pPr>
        <w:spacing w:after="0" w:line="251"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93" w:lineRule="exact"/>
        <w:rPr>
          <w:sz w:val="20"/>
          <w:szCs w:val="20"/>
          <w:color w:val="auto"/>
        </w:rPr>
      </w:pPr>
    </w:p>
    <w:p>
      <w:pPr>
        <w:ind w:right="1320"/>
        <w:spacing w:after="0" w:line="438" w:lineRule="auto"/>
        <w:rPr>
          <w:sz w:val="20"/>
          <w:szCs w:val="20"/>
          <w:color w:val="auto"/>
        </w:rPr>
      </w:pPr>
      <w:r>
        <w:rPr>
          <w:rFonts w:ascii="Arial" w:cs="Arial" w:eastAsia="Arial" w:hAnsi="Arial"/>
          <w:sz w:val="18"/>
          <w:szCs w:val="18"/>
          <w:color w:val="auto"/>
        </w:rPr>
        <w:t xml:space="preserve">We are exposed to market risks primarily from changes in interest rates and changes in the market value of our investments. </w:t>
      </w:r>
      <w:r>
        <w:rPr>
          <w:rFonts w:ascii="Arial" w:cs="Arial" w:eastAsia="Arial" w:hAnsi="Arial"/>
          <w:sz w:val="18"/>
          <w:szCs w:val="18"/>
          <w:b w:val="1"/>
          <w:bCs w:val="1"/>
          <w:color w:val="auto"/>
        </w:rPr>
        <w:t>Market Risk and Interest Rate Risk</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exposure to changes in interest rates associated with borrowings under our bank credit facility, which has variable interest rates tied to LIBOR or an alternate base rate, at our option. At March 31, 2021, we had borrowings outstanding under the credit facility totaling $265.0 million that carried a weighted average interest rate of 2.4%, including the impact of the interest rate swaps described below. A hypothetical 100 basis point change in the interest rate would have a $0.7 million effect on our pretax income on an annualized basis, including the effect of the interest rate swaps outstanding at March 31, 2021. At December 31, 2020, we had borrowings outstanding under the credit facility totaling $200.0 million that carried a weighted average interest rate of 2.5% including the impact of the interest rate swaps described below. As of December 31, 2020, these variable rate borrowings were fully hedged against changes in interest rates by the interest rate swaps, which have a notional amount of $200.0 million. A hypothetical 100 basis point change in the interest rate would have had no impact on our pretax income, on an annualized basis, including the effect of the interest rate swaps.</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January 30, 2020, we entered into a forward interest rate swap agreement effective December 31, 2019 and ending December 31, 2024, with a notional amount of $50.0 million. We entered into this derivative instrument to further hedge against the interest rate risks of our variable -rate borrowings. Under the terms of the interest rate swap agreement, we receive from the counterparty interest on the notional amount based on one month LIBOR and we pay to the counterparty a fixed rate of 1.500%.</w:t>
      </w:r>
    </w:p>
    <w:p>
      <w:pPr>
        <w:spacing w:after="0" w:line="1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March 16, 2020, we entered into a forward interest rate swap agreement effective February 28, 2020 and ending February 28, 2025, with a notional amount of $100.0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0.885%.</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also have exposure to changes in interest rates associated with the promissory note assumed on June 30, 2017 in connection with our purchase of an aircraft, which has variable interest rates tied to LIBOR. At March 31, 2021, the outstanding principal amount of the promissory note was $3.2 million and carried an interest rate of 2.1%. A hypothetical 100 basis point change in this interest rate would not have a material effect on our pretax income. At December 31, 2020, the outstanding principal amount of the promissory note was $3.3 million and carried an interest rate of 2.1%. A hypothetical 100 basis point change in the interest rate as of December 31, 2020 would not have had a material effect on our pretax income.</w:t>
      </w:r>
    </w:p>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14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an investment in the form of 1.69% convertible debt in Shorelight Holdings, LLC, a privately-held company, which we account for as an available-for-sale debt security. As such, the investment is carried at fair value with unrealized holding gains and losses excluded from earnings and</w:t>
      </w:r>
    </w:p>
    <w:p>
      <w:pPr>
        <w:sectPr>
          <w:pgSz w:w="11900" w:h="16838" w:orient="portrait"/>
          <w:cols w:equalWidth="0" w:num="1">
            <w:col w:w="11220"/>
          </w:cols>
          <w:pgMar w:left="320" w:top="140" w:right="359" w:bottom="1116"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116"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reported in other comprehensive income. As of March 31, 2021, the fair value of the investment was $58.0 million, with a total cost basis of $40.9 million. At December 31, 2020, the fair value of the investment was $64.4 million, with a total cost basis of $40.9 million.</w:t>
      </w:r>
    </w:p>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a preferred stock investment in Medically Home Group, Inc., a privately-held company, which we account for as an equity security without a readily determinable fair value using the measurement alternative. As such, the investment is carried at cost minus impairment, if any, plus or minus changes resulting from observable price changes in orderly transactions for the identical or similar investment. Any unrealized holding gains and losses resulting from observable price changes are recorded in our consolidated statement of operations. As of March 31, 2021 and December 31, 2020, the carrying value of the investment was $6.7 million, with a total cost basis of $5.0 million. Following our purchase, we have not identified any impairment of our investment.</w:t>
      </w:r>
    </w:p>
    <w:p>
      <w:pPr>
        <w:spacing w:after="0" w:line="15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See Note 10 “Fair Value of Financial Instruments” for further information on our long-term investments in Shorelight Holdings, LLC and Medically Home Group, Inc.</w:t>
      </w:r>
    </w:p>
    <w:p>
      <w:pPr>
        <w:spacing w:after="0" w:line="257"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3" w:lineRule="exact"/>
        <w:rPr>
          <w:sz w:val="20"/>
          <w:szCs w:val="20"/>
          <w:color w:val="auto"/>
        </w:rPr>
      </w:pPr>
    </w:p>
    <w:p>
      <w:pPr>
        <w:ind w:right="440"/>
        <w:spacing w:after="0" w:line="252"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March 31, 2021. Based on this evaluation, our Chief Executive Officer and Chief Financial Officer have concluded that, as of March 31, 2021,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the quarter ended March 31, 2021, we completed the implementation of a new cloud-based enterprise resource planning (“ERP”) system which replaced much of our existing core financial, operating, and human resource systems. The ERP system is designed to accurately maintain our financial records, enhance the flow of financial information, improve data management, and provide timely information to our management team. As a result of this implementation, we modified certain existing internal controls over financial reporting as well as implemented new controls and procedures related to the new ERP system.</w:t>
      </w:r>
    </w:p>
    <w:p>
      <w:pPr>
        <w:spacing w:after="0" w:line="151"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implementation of the ERP system and related changes described above are changes in our internal control over financial reporting (as such term is defined in Rules 13a-15(f) and 15d-15(f) under the Exchange Act) that occurred during the quarter ended March 31, 2021, that have materially affected, or are reasonably likely to materially affect our internal control over financial reporting.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39"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6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See Part 1, Item 1A, “Risk Factors” in our Annual Report on Form 10-K for the fiscal year ended December 31, 2020, which was filed with the Securities and Exchange Commission on February 23, 2021, for a complete description of the material risks we face.</w:t>
      </w:r>
    </w:p>
    <w:p>
      <w:pPr>
        <w:spacing w:after="0" w:line="257"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Stock Ownership Participation Program, 2012 Omnibus Incentive Plan, and 2004 Omnibus Stock Plan, which was replaced by the 2012 Omnibus Incentive Plan, permit the netting of common stock upon vesting of restricted stock awards to satisfy individual tax withholding requirements. During the quarter ended March 31, 2021, we reacquired 165,203 shares of common stock with a weighted average fair market value of $51.47 as a result of such tax withholdings.</w:t>
      </w:r>
    </w:p>
    <w:p>
      <w:pPr>
        <w:spacing w:after="0" w:line="150"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currently have a share repurchase program permitting us to repurchase up to $50 million of our common stock through December 31, 2021 (the "2020 Share Repurchase Program"). The amount and timing of the repurchases will be determined by management and will depend on a variety of factors, including the trading price of our common stock, capacity under our line of credit, general market and business conditions, and applicable</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legal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common stock during the quarter ended March 31, 2021.</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Dollar Value of Shares</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Average Price</w:t>
            </w: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as Part of Publicly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that may yet be</w:t>
            </w:r>
          </w:p>
        </w:tc>
        <w:tc>
          <w:tcPr>
            <w:tcW w:w="0" w:type="dxa"/>
            <w:vAlign w:val="bottom"/>
          </w:tcPr>
          <w:p>
            <w:pPr>
              <w:spacing w:after="0"/>
              <w:rPr>
                <w:sz w:val="1"/>
                <w:szCs w:val="1"/>
                <w:color w:val="auto"/>
              </w:rPr>
            </w:pPr>
          </w:p>
        </w:tc>
      </w:tr>
      <w:tr>
        <w:trPr>
          <w:trHeight w:val="175"/>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vMerge w:val="restart"/>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Announced Plans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Purchased under the</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 xml:space="preserve">Purchased </w:t>
            </w:r>
            <w:r>
              <w:rPr>
                <w:rFonts w:ascii="Arial" w:cs="Arial" w:eastAsia="Arial" w:hAnsi="Arial"/>
                <w:sz w:val="10"/>
                <w:szCs w:val="10"/>
                <w:b w:val="1"/>
                <w:bCs w:val="1"/>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Paid per Share</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or Programs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center"/>
              <w:ind w:right="70"/>
              <w:spacing w:after="0" w:line="230" w:lineRule="exact"/>
              <w:rPr>
                <w:sz w:val="20"/>
                <w:szCs w:val="20"/>
                <w:color w:val="auto"/>
              </w:rPr>
            </w:pPr>
            <w:r>
              <w:rPr>
                <w:rFonts w:ascii="Arial" w:cs="Arial" w:eastAsia="Arial" w:hAnsi="Arial"/>
                <w:sz w:val="18"/>
                <w:szCs w:val="18"/>
                <w:b w:val="1"/>
                <w:bCs w:val="1"/>
                <w:color w:val="auto"/>
                <w:w w:val="97"/>
              </w:rPr>
              <w:t xml:space="preserve">Plans or Programs </w:t>
            </w:r>
            <w:r>
              <w:rPr>
                <w:rFonts w:ascii="Arial" w:cs="Arial" w:eastAsia="Arial" w:hAnsi="Arial"/>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23"/>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2021 - January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44,974,137</w:t>
            </w: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February 1, 2021 - February 28, 2021</w:t>
            </w:r>
          </w:p>
        </w:tc>
        <w:tc>
          <w:tcPr>
            <w:tcW w:w="156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58.95</w:t>
            </w:r>
          </w:p>
        </w:tc>
        <w:tc>
          <w:tcPr>
            <w:tcW w:w="10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44,974,137</w:t>
            </w:r>
          </w:p>
        </w:tc>
        <w:tc>
          <w:tcPr>
            <w:tcW w:w="0" w:type="dxa"/>
            <w:vAlign w:val="bottom"/>
          </w:tcPr>
          <w:p>
            <w:pPr>
              <w:spacing w:after="0"/>
              <w:rPr>
                <w:sz w:val="1"/>
                <w:szCs w:val="1"/>
                <w:color w:val="auto"/>
              </w:rPr>
            </w:pPr>
          </w:p>
        </w:tc>
      </w:tr>
      <w:tr>
        <w:trPr>
          <w:trHeight w:val="229"/>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2021 - March 31, 2021</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400,347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245,718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31,791,094</w:t>
            </w: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410,921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52.76</w:t>
            </w: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245,718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980" w:right="20" w:hanging="972"/>
        <w:spacing w:after="0" w:line="256" w:lineRule="auto"/>
        <w:tabs>
          <w:tab w:leader="none" w:pos="10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repurchased included 10,479 shares in January 2021, 95 shares in February 2021, and 154,629 shares in March 2021 to satisfy employee tax withholding requirements. These shares do not reduce the repurchase authority under the 2020 Share Repurchase Program.</w:t>
      </w:r>
    </w:p>
    <w:p>
      <w:pPr>
        <w:spacing w:after="0" w:line="39" w:lineRule="exact"/>
        <w:rPr>
          <w:rFonts w:ascii="Arial" w:cs="Arial" w:eastAsia="Arial" w:hAnsi="Arial"/>
          <w:sz w:val="18"/>
          <w:szCs w:val="18"/>
          <w:color w:val="auto"/>
        </w:rPr>
      </w:pPr>
    </w:p>
    <w:p>
      <w:pPr>
        <w:ind w:left="1020" w:hanging="101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230"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2"/>
                <w:szCs w:val="12"/>
                <w:color w:val="auto"/>
              </w:rPr>
            </w:pPr>
          </w:p>
        </w:tc>
        <w:tc>
          <w:tcPr>
            <w:tcW w:w="4680" w:type="dxa"/>
            <w:vAlign w:val="bottom"/>
            <w:gridSpan w:val="10"/>
            <w:vMerge w:val="restart"/>
          </w:tcPr>
          <w:p>
            <w:pPr>
              <w:ind w:left="1620"/>
              <w:spacing w:after="0"/>
              <w:rPr>
                <w:sz w:val="20"/>
                <w:szCs w:val="20"/>
                <w:color w:val="auto"/>
              </w:rPr>
            </w:pPr>
            <w:r>
              <w:rPr>
                <w:rFonts w:ascii="Arial" w:cs="Arial" w:eastAsia="Arial" w:hAnsi="Arial"/>
                <w:sz w:val="14"/>
                <w:szCs w:val="14"/>
                <w:b w:val="1"/>
                <w:bCs w:val="1"/>
                <w:color w:val="auto"/>
              </w:rPr>
              <w:t>Exhibit Description</w:t>
            </w:r>
          </w:p>
        </w:tc>
        <w:tc>
          <w:tcPr>
            <w:tcW w:w="8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Filed</w:t>
            </w:r>
          </w:p>
        </w:tc>
        <w:tc>
          <w:tcPr>
            <w:tcW w:w="9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Furnished</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2"/>
                <w:szCs w:val="12"/>
                <w:color w:val="auto"/>
              </w:rPr>
            </w:pPr>
          </w:p>
        </w:tc>
        <w:tc>
          <w:tcPr>
            <w:tcW w:w="7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Period</w:t>
            </w:r>
          </w:p>
        </w:tc>
        <w:tc>
          <w:tcPr>
            <w:tcW w:w="11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jc w:val="center"/>
              <w:ind w:right="5"/>
              <w:spacing w:after="0" w:line="142" w:lineRule="exact"/>
              <w:rPr>
                <w:sz w:val="20"/>
                <w:szCs w:val="20"/>
                <w:color w:val="auto"/>
              </w:rPr>
            </w:pPr>
            <w:r>
              <w:rPr>
                <w:rFonts w:ascii="Arial" w:cs="Arial" w:eastAsia="Arial" w:hAnsi="Arial"/>
                <w:sz w:val="14"/>
                <w:szCs w:val="14"/>
                <w:b w:val="1"/>
                <w:bCs w:val="1"/>
                <w:color w:val="auto"/>
              </w:rPr>
              <w:t>Filing</w:t>
            </w:r>
          </w:p>
        </w:tc>
        <w:tc>
          <w:tcPr>
            <w:tcW w:w="0" w:type="dxa"/>
            <w:vAlign w:val="bottom"/>
          </w:tcPr>
          <w:p>
            <w:pPr>
              <w:spacing w:after="0"/>
              <w:rPr>
                <w:sz w:val="1"/>
                <w:szCs w:val="1"/>
                <w:color w:val="auto"/>
              </w:rPr>
            </w:pPr>
          </w:p>
        </w:tc>
      </w:tr>
      <w:tr>
        <w:trPr>
          <w:trHeight w:val="175"/>
        </w:trPr>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4680" w:type="dxa"/>
            <w:vAlign w:val="bottom"/>
            <w:gridSpan w:val="10"/>
            <w:vMerge w:val="continue"/>
          </w:tcPr>
          <w:p>
            <w:pPr>
              <w:spacing w:after="0"/>
              <w:rPr>
                <w:sz w:val="15"/>
                <w:szCs w:val="15"/>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herewith</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herewith</w:t>
            </w: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Ending</w:t>
            </w:r>
          </w:p>
        </w:tc>
        <w:tc>
          <w:tcPr>
            <w:tcW w:w="1120" w:type="dxa"/>
            <w:vAlign w:val="bottom"/>
            <w:gridSpan w:val="3"/>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56"/>
        </w:trPr>
        <w:tc>
          <w:tcPr>
            <w:tcW w:w="8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6"/>
                <w:szCs w:val="16"/>
                <w:color w:val="auto"/>
              </w:rPr>
              <w:t>10.1</w:t>
            </w:r>
          </w:p>
        </w:tc>
        <w:tc>
          <w:tcPr>
            <w:tcW w:w="120" w:type="dxa"/>
            <w:vAlign w:val="bottom"/>
          </w:tcPr>
          <w:p>
            <w:pPr>
              <w:spacing w:after="0"/>
              <w:rPr>
                <w:sz w:val="13"/>
                <w:szCs w:val="13"/>
                <w:color w:val="auto"/>
              </w:rPr>
            </w:pPr>
          </w:p>
        </w:tc>
        <w:tc>
          <w:tcPr>
            <w:tcW w:w="2640" w:type="dxa"/>
            <w:vAlign w:val="bottom"/>
            <w:tcBorders>
              <w:bottom w:val="single" w:sz="8" w:color="0000FF"/>
            </w:tcBorders>
            <w:gridSpan w:val="3"/>
          </w:tcPr>
          <w:p>
            <w:pPr>
              <w:spacing w:after="0" w:line="136" w:lineRule="exact"/>
              <w:rPr>
                <w:rFonts w:ascii="Arial" w:cs="Arial" w:eastAsia="Arial" w:hAnsi="Arial"/>
                <w:sz w:val="15"/>
                <w:szCs w:val="15"/>
                <w:color w:val="0000FF"/>
              </w:rPr>
            </w:pPr>
            <w:hyperlink w:anchor="page43">
              <w:r>
                <w:rPr>
                  <w:rFonts w:ascii="Arial" w:cs="Arial" w:eastAsia="Arial" w:hAnsi="Arial"/>
                  <w:sz w:val="15"/>
                  <w:szCs w:val="15"/>
                  <w:color w:val="0000FF"/>
                </w:rPr>
                <w:t>Form of Retention Bonus Agreement</w:t>
              </w:r>
            </w:hyperlink>
          </w:p>
        </w:tc>
        <w:tc>
          <w:tcPr>
            <w:tcW w:w="2040" w:type="dxa"/>
            <w:vAlign w:val="bottom"/>
            <w:gridSpan w:val="7"/>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8-K</w:t>
            </w:r>
          </w:p>
        </w:tc>
        <w:tc>
          <w:tcPr>
            <w:tcW w:w="12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jc w:val="right"/>
              <w:ind w:right="224"/>
              <w:spacing w:after="0" w:line="142" w:lineRule="exact"/>
              <w:rPr>
                <w:sz w:val="20"/>
                <w:szCs w:val="20"/>
                <w:color w:val="auto"/>
              </w:rPr>
            </w:pPr>
            <w:r>
              <w:rPr>
                <w:rFonts w:ascii="Arial" w:cs="Arial" w:eastAsia="Arial" w:hAnsi="Arial"/>
                <w:sz w:val="16"/>
                <w:szCs w:val="16"/>
                <w:color w:val="auto"/>
              </w:rPr>
              <w:t>10.1</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4/16/2021</w:t>
            </w:r>
          </w:p>
        </w:tc>
        <w:tc>
          <w:tcPr>
            <w:tcW w:w="0" w:type="dxa"/>
            <w:vAlign w:val="bottom"/>
          </w:tcPr>
          <w:p>
            <w:pPr>
              <w:spacing w:after="0"/>
              <w:rPr>
                <w:sz w:val="1"/>
                <w:szCs w:val="1"/>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8"/>
                <w:szCs w:val="18"/>
                <w:color w:val="auto"/>
              </w:rPr>
            </w:pPr>
          </w:p>
        </w:tc>
        <w:tc>
          <w:tcPr>
            <w:tcW w:w="4680" w:type="dxa"/>
            <w:vAlign w:val="bottom"/>
            <w:gridSpan w:val="10"/>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Certification of the Chief Executive Officer, pursuant to Rule</w:t>
              </w:r>
            </w:hyperlink>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6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w:anchor="page47">
              <w:r>
                <w:rPr>
                  <w:rFonts w:ascii="Arial" w:cs="Arial" w:eastAsia="Arial" w:hAnsi="Arial"/>
                  <w:sz w:val="16"/>
                  <w:szCs w:val="16"/>
                  <w:color w:val="0000FF"/>
                </w:rPr>
                <w:t>13a-14(a)/15d-14(a), as adopted pursuant to Section 302 of</w:t>
              </w:r>
            </w:hyperlink>
          </w:p>
        </w:tc>
        <w:tc>
          <w:tcPr>
            <w:tcW w:w="40" w:type="dxa"/>
            <w:vAlign w:val="bottom"/>
          </w:tcPr>
          <w:p>
            <w:pPr>
              <w:spacing w:after="0"/>
              <w:rPr>
                <w:sz w:val="12"/>
                <w:szCs w:val="12"/>
                <w:color w:val="auto"/>
              </w:rPr>
            </w:pPr>
          </w:p>
        </w:tc>
        <w:tc>
          <w:tcPr>
            <w:tcW w:w="380" w:type="dxa"/>
            <w:vAlign w:val="bottom"/>
            <w:gridSpan w:val="2"/>
          </w:tcPr>
          <w:p>
            <w:pPr>
              <w:ind w:left="20"/>
              <w:spacing w:after="0" w:line="142" w:lineRule="exact"/>
              <w:rPr>
                <w:rFonts w:ascii="Arial" w:cs="Arial" w:eastAsia="Arial" w:hAnsi="Arial"/>
                <w:sz w:val="16"/>
                <w:szCs w:val="16"/>
                <w:color w:val="0000FF"/>
              </w:rPr>
            </w:pPr>
            <w:hyperlink w:anchor="page47">
              <w:r>
                <w:rPr>
                  <w:rFonts w:ascii="Arial" w:cs="Arial" w:eastAsia="Arial" w:hAnsi="Arial"/>
                  <w:sz w:val="16"/>
                  <w:szCs w:val="16"/>
                  <w:color w:val="0000FF"/>
                </w:rPr>
                <w:t>the</w:t>
              </w:r>
            </w:hyperlink>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4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w:anchor="page47">
              <w:r>
                <w:rPr>
                  <w:rFonts w:ascii="Arial" w:cs="Arial" w:eastAsia="Arial" w:hAnsi="Arial"/>
                  <w:sz w:val="16"/>
                  <w:szCs w:val="16"/>
                  <w:color w:val="0000FF"/>
                </w:rPr>
                <w:t>Sarbanes-Oxley Act of 2002.</w:t>
              </w:r>
            </w:hyperlink>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7"/>
                <w:szCs w:val="17"/>
                <w:color w:val="auto"/>
              </w:rPr>
            </w:pPr>
          </w:p>
        </w:tc>
        <w:tc>
          <w:tcPr>
            <w:tcW w:w="4680" w:type="dxa"/>
            <w:vAlign w:val="bottom"/>
            <w:gridSpan w:val="10"/>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Certification of the Chief Financial Officer, pursuant to Rule</w:t>
              </w:r>
            </w:hyperlink>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80" w:type="dxa"/>
            <w:vAlign w:val="bottom"/>
            <w:gridSpan w:val="10"/>
          </w:tcPr>
          <w:p>
            <w:pPr>
              <w:spacing w:after="0" w:line="142" w:lineRule="exact"/>
              <w:rPr>
                <w:rFonts w:ascii="Arial" w:cs="Arial" w:eastAsia="Arial" w:hAnsi="Arial"/>
                <w:sz w:val="16"/>
                <w:szCs w:val="16"/>
                <w:color w:val="0000FF"/>
              </w:rPr>
            </w:pPr>
            <w:hyperlink w:anchor="page48">
              <w:r>
                <w:rPr>
                  <w:rFonts w:ascii="Arial" w:cs="Arial" w:eastAsia="Arial" w:hAnsi="Arial"/>
                  <w:sz w:val="16"/>
                  <w:szCs w:val="16"/>
                  <w:color w:val="0000FF"/>
                </w:rPr>
                <w:t>13a-14(a)/15d-14(a), as adopted pursuant to Section 302 of the</w:t>
              </w:r>
            </w:hyperlink>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4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w:anchor="page48">
              <w:r>
                <w:rPr>
                  <w:rFonts w:ascii="Arial" w:cs="Arial" w:eastAsia="Arial" w:hAnsi="Arial"/>
                  <w:sz w:val="16"/>
                  <w:szCs w:val="16"/>
                  <w:color w:val="0000FF"/>
                </w:rPr>
                <w:t>Sarbanes-Oxley Act of 2002.</w:t>
              </w:r>
            </w:hyperlink>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7"/>
                <w:szCs w:val="17"/>
                <w:color w:val="auto"/>
              </w:rPr>
            </w:pPr>
          </w:p>
        </w:tc>
        <w:tc>
          <w:tcPr>
            <w:tcW w:w="4680" w:type="dxa"/>
            <w:vAlign w:val="bottom"/>
            <w:gridSpan w:val="10"/>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Certification of the Chief Executive Officer, pursuant to 18</w:t>
              </w:r>
            </w:hyperlink>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00" w:type="dxa"/>
            <w:vAlign w:val="bottom"/>
            <w:tcBorders>
              <w:top w:val="single" w:sz="8" w:color="0000FF"/>
            </w:tcBorders>
            <w:gridSpan w:val="5"/>
          </w:tcPr>
          <w:p>
            <w:pPr>
              <w:spacing w:after="0" w:line="142" w:lineRule="exact"/>
              <w:rPr>
                <w:rFonts w:ascii="Arial" w:cs="Arial" w:eastAsia="Arial" w:hAnsi="Arial"/>
                <w:sz w:val="16"/>
                <w:szCs w:val="16"/>
                <w:color w:val="0000FF"/>
              </w:rPr>
            </w:pPr>
            <w:hyperlink w:anchor="page49">
              <w:r>
                <w:rPr>
                  <w:rFonts w:ascii="Arial" w:cs="Arial" w:eastAsia="Arial" w:hAnsi="Arial"/>
                  <w:sz w:val="16"/>
                  <w:szCs w:val="16"/>
                  <w:color w:val="0000FF"/>
                </w:rPr>
                <w:t>U.S.C. Section 1350, as adopted pursuant to Section 906</w:t>
              </w:r>
            </w:hyperlink>
          </w:p>
        </w:tc>
        <w:tc>
          <w:tcPr>
            <w:tcW w:w="580" w:type="dxa"/>
            <w:vAlign w:val="bottom"/>
            <w:gridSpan w:val="5"/>
          </w:tcPr>
          <w:p>
            <w:pPr>
              <w:ind w:left="60"/>
              <w:spacing w:after="0" w:line="142" w:lineRule="exact"/>
              <w:rPr>
                <w:rFonts w:ascii="Arial" w:cs="Arial" w:eastAsia="Arial" w:hAnsi="Arial"/>
                <w:sz w:val="16"/>
                <w:szCs w:val="16"/>
                <w:color w:val="0000FF"/>
              </w:rPr>
            </w:pPr>
            <w:hyperlink w:anchor="page49">
              <w:r>
                <w:rPr>
                  <w:rFonts w:ascii="Arial" w:cs="Arial" w:eastAsia="Arial" w:hAnsi="Arial"/>
                  <w:sz w:val="16"/>
                  <w:szCs w:val="16"/>
                  <w:color w:val="0000FF"/>
                </w:rPr>
                <w:t>of</w:t>
              </w:r>
            </w:hyperlink>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w:anchor="page49">
              <w:r>
                <w:rPr>
                  <w:rFonts w:ascii="Arial" w:cs="Arial" w:eastAsia="Arial" w:hAnsi="Arial"/>
                  <w:sz w:val="16"/>
                  <w:szCs w:val="16"/>
                  <w:color w:val="0000FF"/>
                </w:rPr>
                <w:t>the Sarbanes-Oxley Act of 2002.</w:t>
              </w:r>
            </w:hyperlink>
          </w:p>
        </w:tc>
        <w:tc>
          <w:tcPr>
            <w:tcW w:w="1960" w:type="dxa"/>
            <w:vAlign w:val="bottom"/>
            <w:tcBorders>
              <w:top w:val="single" w:sz="8" w:color="0000FF"/>
            </w:tcBorders>
            <w:gridSpan w:val="6"/>
          </w:tcPr>
          <w:p>
            <w:pPr>
              <w:spacing w:after="0"/>
              <w:rPr>
                <w:sz w:val="12"/>
                <w:szCs w:val="12"/>
                <w:color w:val="auto"/>
              </w:rPr>
            </w:pPr>
          </w:p>
        </w:tc>
        <w:tc>
          <w:tcPr>
            <w:tcW w:w="38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7"/>
                <w:szCs w:val="17"/>
                <w:color w:val="auto"/>
              </w:rPr>
            </w:pPr>
          </w:p>
        </w:tc>
        <w:tc>
          <w:tcPr>
            <w:tcW w:w="4680" w:type="dxa"/>
            <w:vAlign w:val="bottom"/>
            <w:gridSpan w:val="10"/>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Certification of the Chief Financial Officer, pursuant to 18</w:t>
              </w:r>
            </w:hyperlink>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60" w:type="dxa"/>
            <w:vAlign w:val="bottom"/>
            <w:tcBorders>
              <w:top w:val="single" w:sz="8" w:color="0000FF"/>
            </w:tcBorders>
            <w:gridSpan w:val="4"/>
          </w:tcPr>
          <w:p>
            <w:pPr>
              <w:spacing w:after="0" w:line="142" w:lineRule="exact"/>
              <w:rPr>
                <w:rFonts w:ascii="Arial" w:cs="Arial" w:eastAsia="Arial" w:hAnsi="Arial"/>
                <w:sz w:val="16"/>
                <w:szCs w:val="16"/>
                <w:color w:val="0000FF"/>
                <w:w w:val="99"/>
              </w:rPr>
            </w:pPr>
            <w:hyperlink w:anchor="page50">
              <w:r>
                <w:rPr>
                  <w:rFonts w:ascii="Arial" w:cs="Arial" w:eastAsia="Arial" w:hAnsi="Arial"/>
                  <w:sz w:val="16"/>
                  <w:szCs w:val="16"/>
                  <w:color w:val="0000FF"/>
                  <w:w w:val="99"/>
                </w:rPr>
                <w:t>U.S.C. Section 1350, as adopted pursuant to Section 906</w:t>
              </w:r>
            </w:hyperlink>
          </w:p>
        </w:tc>
        <w:tc>
          <w:tcPr>
            <w:tcW w:w="620" w:type="dxa"/>
            <w:vAlign w:val="bottom"/>
            <w:gridSpan w:val="6"/>
          </w:tcPr>
          <w:p>
            <w:pPr>
              <w:ind w:left="100"/>
              <w:spacing w:after="0" w:line="142" w:lineRule="exact"/>
              <w:rPr>
                <w:rFonts w:ascii="Arial" w:cs="Arial" w:eastAsia="Arial" w:hAnsi="Arial"/>
                <w:sz w:val="16"/>
                <w:szCs w:val="16"/>
                <w:color w:val="0000FF"/>
              </w:rPr>
            </w:pPr>
            <w:hyperlink w:anchor="page50">
              <w:r>
                <w:rPr>
                  <w:rFonts w:ascii="Arial" w:cs="Arial" w:eastAsia="Arial" w:hAnsi="Arial"/>
                  <w:sz w:val="16"/>
                  <w:szCs w:val="16"/>
                  <w:color w:val="0000FF"/>
                </w:rPr>
                <w:t>of</w:t>
              </w:r>
            </w:hyperlink>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w:anchor="page50">
              <w:r>
                <w:rPr>
                  <w:rFonts w:ascii="Arial" w:cs="Arial" w:eastAsia="Arial" w:hAnsi="Arial"/>
                  <w:sz w:val="16"/>
                  <w:szCs w:val="16"/>
                  <w:color w:val="0000FF"/>
                </w:rPr>
                <w:t>the Sarbanes-Oxley Act of 2002.</w:t>
              </w:r>
            </w:hyperlink>
          </w:p>
        </w:tc>
        <w:tc>
          <w:tcPr>
            <w:tcW w:w="1960" w:type="dxa"/>
            <w:vAlign w:val="bottom"/>
            <w:tcBorders>
              <w:top w:val="single" w:sz="8" w:color="0000FF"/>
            </w:tcBorders>
            <w:gridSpan w:val="6"/>
          </w:tcPr>
          <w:p>
            <w:pPr>
              <w:spacing w:after="0"/>
              <w:rPr>
                <w:sz w:val="12"/>
                <w:szCs w:val="12"/>
                <w:color w:val="auto"/>
              </w:rPr>
            </w:pPr>
          </w:p>
        </w:tc>
        <w:tc>
          <w:tcPr>
            <w:tcW w:w="38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40" w:type="dxa"/>
            <w:vAlign w:val="bottom"/>
          </w:tcPr>
          <w:p>
            <w:pPr>
              <w:ind w:left="20"/>
              <w:spacing w:after="0"/>
              <w:rPr>
                <w:sz w:val="20"/>
                <w:szCs w:val="20"/>
                <w:color w:val="auto"/>
              </w:rPr>
            </w:pPr>
            <w:r>
              <w:rPr>
                <w:rFonts w:ascii="Arial" w:cs="Arial" w:eastAsia="Arial" w:hAnsi="Arial"/>
                <w:sz w:val="16"/>
                <w:szCs w:val="16"/>
                <w:color w:val="auto"/>
              </w:rPr>
              <w:t>101.INS</w:t>
            </w:r>
          </w:p>
        </w:tc>
        <w:tc>
          <w:tcPr>
            <w:tcW w:w="120" w:type="dxa"/>
            <w:vAlign w:val="bottom"/>
          </w:tcPr>
          <w:p>
            <w:pPr>
              <w:spacing w:after="0"/>
              <w:rPr>
                <w:sz w:val="17"/>
                <w:szCs w:val="17"/>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Inline XBRL Instance Document - the instance document does</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80" w:type="dxa"/>
            <w:vAlign w:val="bottom"/>
            <w:gridSpan w:val="10"/>
          </w:tcPr>
          <w:p>
            <w:pPr>
              <w:spacing w:after="0" w:line="162" w:lineRule="exact"/>
              <w:rPr>
                <w:sz w:val="20"/>
                <w:szCs w:val="20"/>
                <w:color w:val="auto"/>
              </w:rPr>
            </w:pPr>
            <w:r>
              <w:rPr>
                <w:rFonts w:ascii="Arial" w:cs="Arial" w:eastAsia="Arial" w:hAnsi="Arial"/>
                <w:sz w:val="16"/>
                <w:szCs w:val="16"/>
                <w:color w:val="auto"/>
              </w:rPr>
              <w:t>not appear in the Interactive Data File because its XBRL tags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are embedded within the Inline XBRL document.</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Arial" w:cs="Arial" w:eastAsia="Arial" w:hAnsi="Arial"/>
                <w:sz w:val="16"/>
                <w:szCs w:val="16"/>
                <w:color w:val="auto"/>
              </w:rPr>
              <w:t>101.SCH</w:t>
            </w:r>
          </w:p>
        </w:tc>
        <w:tc>
          <w:tcPr>
            <w:tcW w:w="120" w:type="dxa"/>
            <w:vAlign w:val="bottom"/>
          </w:tcPr>
          <w:p>
            <w:pPr>
              <w:spacing w:after="0"/>
              <w:rPr>
                <w:sz w:val="18"/>
                <w:szCs w:val="18"/>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Inline XBRL Taxonomy Extension Schema Document</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6"/>
                <w:szCs w:val="16"/>
                <w:color w:val="auto"/>
              </w:rPr>
              <w:t>101.CAL</w:t>
            </w:r>
          </w:p>
        </w:tc>
        <w:tc>
          <w:tcPr>
            <w:tcW w:w="120" w:type="dxa"/>
            <w:vAlign w:val="bottom"/>
          </w:tcPr>
          <w:p>
            <w:pPr>
              <w:spacing w:after="0"/>
              <w:rPr>
                <w:sz w:val="15"/>
                <w:szCs w:val="15"/>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Inline XBRL Taxonomy Extension Calculation Linkbase</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Arial" w:cs="Arial" w:eastAsia="Arial" w:hAnsi="Arial"/>
                <w:sz w:val="16"/>
                <w:szCs w:val="16"/>
                <w:color w:val="auto"/>
              </w:rPr>
              <w:t>101.LAB</w:t>
            </w:r>
          </w:p>
        </w:tc>
        <w:tc>
          <w:tcPr>
            <w:tcW w:w="120" w:type="dxa"/>
            <w:vAlign w:val="bottom"/>
          </w:tcPr>
          <w:p>
            <w:pPr>
              <w:spacing w:after="0"/>
              <w:rPr>
                <w:sz w:val="18"/>
                <w:szCs w:val="18"/>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6"/>
                <w:szCs w:val="16"/>
                <w:color w:val="auto"/>
              </w:rPr>
              <w:t>101.PRE</w:t>
            </w:r>
          </w:p>
        </w:tc>
        <w:tc>
          <w:tcPr>
            <w:tcW w:w="120" w:type="dxa"/>
            <w:vAlign w:val="bottom"/>
          </w:tcPr>
          <w:p>
            <w:pPr>
              <w:spacing w:after="0"/>
              <w:rPr>
                <w:sz w:val="15"/>
                <w:szCs w:val="15"/>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6"/>
                <w:szCs w:val="16"/>
                <w:color w:val="auto"/>
              </w:rPr>
              <w:t>101.DEF</w:t>
            </w:r>
          </w:p>
        </w:tc>
        <w:tc>
          <w:tcPr>
            <w:tcW w:w="120" w:type="dxa"/>
            <w:vAlign w:val="bottom"/>
          </w:tcPr>
          <w:p>
            <w:pPr>
              <w:spacing w:after="0"/>
              <w:rPr>
                <w:sz w:val="15"/>
                <w:szCs w:val="15"/>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Inline XBRL Taxonomy Extension Definition Linkbase</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5"/>
                <w:szCs w:val="15"/>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Cover Page Interactive Data File (formatted as inline XBRL and</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contained in Exhibit 101)</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9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Huron Consulting Group Inc.</w:t>
            </w:r>
          </w:p>
        </w:tc>
      </w:tr>
      <w:tr>
        <w:trPr>
          <w:trHeight w:val="223"/>
        </w:trPr>
        <w:tc>
          <w:tcPr>
            <w:tcW w:w="6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499"/>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320" w:type="dxa"/>
            <w:vAlign w:val="bottom"/>
            <w:gridSpan w:val="2"/>
          </w:tcPr>
          <w:p>
            <w:pPr>
              <w:ind w:left="480"/>
              <w:spacing w:after="0"/>
              <w:rPr>
                <w:sz w:val="20"/>
                <w:szCs w:val="20"/>
                <w:color w:val="auto"/>
              </w:rPr>
            </w:pPr>
            <w:r>
              <w:rPr>
                <w:rFonts w:ascii="Arial" w:cs="Arial" w:eastAsia="Arial" w:hAnsi="Arial"/>
                <w:sz w:val="18"/>
                <w:szCs w:val="18"/>
                <w:color w:val="auto"/>
              </w:rPr>
              <w:t>May 4, 2021</w:t>
            </w:r>
          </w:p>
        </w:tc>
        <w:tc>
          <w:tcPr>
            <w:tcW w:w="520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D. K</w:t>
            </w:r>
            <w:r>
              <w:rPr>
                <w:rFonts w:ascii="Arial" w:cs="Arial" w:eastAsia="Arial" w:hAnsi="Arial"/>
                <w:sz w:val="14"/>
                <w:szCs w:val="14"/>
                <w:color w:val="auto"/>
              </w:rPr>
              <w:t>ELLY</w:t>
            </w:r>
          </w:p>
        </w:tc>
      </w:tr>
      <w:tr>
        <w:trPr>
          <w:trHeight w:val="223"/>
        </w:trPr>
        <w:tc>
          <w:tcPr>
            <w:tcW w:w="680" w:type="dxa"/>
            <w:vAlign w:val="bottom"/>
          </w:tcPr>
          <w:p>
            <w:pPr>
              <w:spacing w:after="0"/>
              <w:rPr>
                <w:sz w:val="19"/>
                <w:szCs w:val="19"/>
                <w:color w:val="auto"/>
              </w:rPr>
            </w:pPr>
          </w:p>
        </w:tc>
        <w:tc>
          <w:tcPr>
            <w:tcW w:w="2380" w:type="dxa"/>
            <w:vAlign w:val="bottom"/>
            <w:tcBorders>
              <w:top w:val="single" w:sz="8" w:color="auto"/>
            </w:tcBorders>
          </w:tcPr>
          <w:p>
            <w:pPr>
              <w:spacing w:after="0"/>
              <w:rPr>
                <w:sz w:val="19"/>
                <w:szCs w:val="19"/>
                <w:color w:val="auto"/>
              </w:rPr>
            </w:pPr>
          </w:p>
        </w:tc>
        <w:tc>
          <w:tcPr>
            <w:tcW w:w="2940" w:type="dxa"/>
            <w:vAlign w:val="bottom"/>
          </w:tcPr>
          <w:p>
            <w:pPr>
              <w:spacing w:after="0"/>
              <w:rPr>
                <w:sz w:val="19"/>
                <w:szCs w:val="19"/>
                <w:color w:val="auto"/>
              </w:rPr>
            </w:pPr>
          </w:p>
        </w:tc>
        <w:tc>
          <w:tcPr>
            <w:tcW w:w="5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John D. Kelly</w:t>
            </w:r>
          </w:p>
        </w:tc>
      </w:tr>
    </w:tbl>
    <w:p>
      <w:pPr>
        <w:ind w:left="7580"/>
        <w:spacing w:after="0" w:line="218" w:lineRule="auto"/>
        <w:rPr>
          <w:sz w:val="20"/>
          <w:szCs w:val="20"/>
          <w:color w:val="auto"/>
        </w:rPr>
      </w:pPr>
      <w:r>
        <w:rPr>
          <w:rFonts w:ascii="Arial" w:cs="Arial" w:eastAsia="Arial" w:hAnsi="Arial"/>
          <w:sz w:val="18"/>
          <w:szCs w:val="18"/>
          <w:color w:val="auto"/>
        </w:rPr>
        <w:t>Executive Vice President,</w:t>
      </w:r>
    </w:p>
    <w:p>
      <w:pPr>
        <w:ind w:left="716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40"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RETENTION BONUS AGREEMENT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color w:val="auto"/>
        </w:rPr>
        <w:t>This Retention Bonus Agreement (this “Agreement”) is made and entered into by and between Huron Consulting Group Inc.</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(“Huron”) and _______________ (the “Executive”). This Agreement shall take effect on April 14, 2021 (the “Effective Date”).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20" w:lineRule="exact"/>
        <w:rPr>
          <w:sz w:val="20"/>
          <w:szCs w:val="20"/>
          <w:color w:val="auto"/>
        </w:rPr>
      </w:pPr>
    </w:p>
    <w:p>
      <w:pPr>
        <w:ind w:right="500" w:firstLine="648"/>
        <w:spacing w:after="0" w:line="253" w:lineRule="auto"/>
        <w:rPr>
          <w:sz w:val="20"/>
          <w:szCs w:val="20"/>
          <w:color w:val="auto"/>
        </w:rPr>
      </w:pPr>
      <w:r>
        <w:rPr>
          <w:rFonts w:ascii="Arial" w:cs="Arial" w:eastAsia="Arial" w:hAnsi="Arial"/>
          <w:sz w:val="22"/>
          <w:szCs w:val="22"/>
          <w:color w:val="auto"/>
        </w:rPr>
        <w:t>WHEREAS, the Executive performed exceptionally during 2020 and Huron did not adjust outstanding long-term incentive awards to address the negative impact of the pandemic on multi-year performance cycles under existing long-term equity incentive awards; and</w:t>
      </w:r>
    </w:p>
    <w:p>
      <w:pPr>
        <w:spacing w:after="0" w:line="185"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WHEREAS, Huron’s Board of Directors (the “Board”) believes it is critical to retain the Executive’s continued services and that a special cash-based award as described below is in Huron’s best interests as it emerges from the challenges presented by the COVID-19 pandemic.</w:t>
      </w:r>
    </w:p>
    <w:p>
      <w:pPr>
        <w:spacing w:after="0" w:line="185"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NOW, THEREFORE, in consideration of the above premises and the mutual agreements hereinafter set forth, Huron and the Executive (collectively, the “Parties”) hereby agree as follows:</w:t>
      </w:r>
    </w:p>
    <w:p>
      <w:pPr>
        <w:spacing w:after="0" w:line="175" w:lineRule="exact"/>
        <w:rPr>
          <w:sz w:val="20"/>
          <w:szCs w:val="20"/>
          <w:color w:val="auto"/>
        </w:rPr>
      </w:pPr>
    </w:p>
    <w:p>
      <w:pPr>
        <w:ind w:right="20" w:firstLine="8"/>
        <w:spacing w:after="0" w:line="263" w:lineRule="auto"/>
        <w:tabs>
          <w:tab w:leader="none" w:pos="378" w:val="left"/>
        </w:tabs>
        <w:numPr>
          <w:ilvl w:val="0"/>
          <w:numId w:val="13"/>
        </w:numPr>
        <w:rPr>
          <w:rFonts w:ascii="Arial" w:cs="Arial" w:eastAsia="Arial" w:hAnsi="Arial"/>
          <w:sz w:val="22"/>
          <w:szCs w:val="22"/>
          <w:color w:val="auto"/>
        </w:rPr>
      </w:pPr>
      <w:r>
        <w:rPr>
          <w:rFonts w:ascii="Arial" w:cs="Arial" w:eastAsia="Arial" w:hAnsi="Arial"/>
          <w:sz w:val="22"/>
          <w:szCs w:val="22"/>
          <w:color w:val="auto"/>
        </w:rPr>
        <w:t>Subject to the terms and conditions set forth below, Huron will pay Executive a total retention bonus in the amount of [insert: applicable amount] ($______) in cash (the “Retention Bonus”).</w:t>
      </w:r>
    </w:p>
    <w:p>
      <w:pPr>
        <w:spacing w:after="0" w:line="174" w:lineRule="exact"/>
        <w:rPr>
          <w:rFonts w:ascii="Arial" w:cs="Arial" w:eastAsia="Arial" w:hAnsi="Arial"/>
          <w:sz w:val="22"/>
          <w:szCs w:val="22"/>
          <w:color w:val="auto"/>
        </w:rPr>
      </w:pPr>
    </w:p>
    <w:p>
      <w:pPr>
        <w:ind w:right="200" w:firstLine="8"/>
        <w:spacing w:after="0" w:line="263" w:lineRule="auto"/>
        <w:tabs>
          <w:tab w:leader="none" w:pos="428"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Retention Bonus will be paid in three separate installments (each, a “Retention Bonus Payment”) on the Vesting Dates set forth below, provided the Executive is then employed by the Company:</w:t>
      </w:r>
    </w:p>
    <w:p>
      <w:pPr>
        <w:spacing w:after="0" w:line="146" w:lineRule="exact"/>
        <w:rPr>
          <w:sz w:val="20"/>
          <w:szCs w:val="20"/>
          <w:color w:val="auto"/>
        </w:rPr>
      </w:pPr>
    </w:p>
    <w:tbl>
      <w:tblPr>
        <w:tblLayout w:type="fixed"/>
        <w:tblInd w:w="280" w:type="dxa"/>
        <w:tblCellMar>
          <w:top w:w="0" w:type="dxa"/>
          <w:left w:w="0" w:type="dxa"/>
          <w:bottom w:w="0" w:type="dxa"/>
          <w:right w:w="0" w:type="dxa"/>
        </w:tblCellMar>
      </w:tblPr>
      <w:tr>
        <w:trPr>
          <w:trHeight w:val="253"/>
        </w:trPr>
        <w:tc>
          <w:tcPr>
            <w:tcW w:w="1760" w:type="dxa"/>
            <w:vAlign w:val="bottom"/>
            <w:gridSpan w:val="2"/>
          </w:tcPr>
          <w:p>
            <w:pPr>
              <w:spacing w:after="0"/>
              <w:rPr>
                <w:sz w:val="20"/>
                <w:szCs w:val="20"/>
                <w:color w:val="auto"/>
              </w:rPr>
            </w:pPr>
            <w:r>
              <w:rPr>
                <w:rFonts w:ascii="Arial" w:cs="Arial" w:eastAsia="Arial" w:hAnsi="Arial"/>
                <w:sz w:val="22"/>
                <w:szCs w:val="22"/>
                <w:color w:val="auto"/>
              </w:rPr>
              <w:t>Vesting Date</w:t>
            </w:r>
          </w:p>
        </w:tc>
        <w:tc>
          <w:tcPr>
            <w:tcW w:w="3620" w:type="dxa"/>
            <w:vAlign w:val="bottom"/>
          </w:tcPr>
          <w:p>
            <w:pPr>
              <w:jc w:val="right"/>
              <w:spacing w:after="0"/>
              <w:rPr>
                <w:sz w:val="20"/>
                <w:szCs w:val="20"/>
                <w:color w:val="auto"/>
              </w:rPr>
            </w:pPr>
            <w:r>
              <w:rPr>
                <w:rFonts w:ascii="Arial" w:cs="Arial" w:eastAsia="Arial" w:hAnsi="Arial"/>
                <w:sz w:val="22"/>
                <w:szCs w:val="22"/>
                <w:color w:val="auto"/>
                <w:w w:val="88"/>
              </w:rPr>
              <w:t>Portion of Award Vesting on Vesting Date</w:t>
            </w:r>
          </w:p>
        </w:tc>
      </w:tr>
      <w:tr>
        <w:trPr>
          <w:trHeight w:val="20"/>
        </w:trPr>
        <w:tc>
          <w:tcPr>
            <w:tcW w:w="11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r>
      <w:tr>
        <w:trPr>
          <w:trHeight w:val="503"/>
        </w:trPr>
        <w:tc>
          <w:tcPr>
            <w:tcW w:w="1760" w:type="dxa"/>
            <w:vAlign w:val="bottom"/>
            <w:gridSpan w:val="2"/>
          </w:tcPr>
          <w:p>
            <w:pPr>
              <w:spacing w:after="0"/>
              <w:rPr>
                <w:sz w:val="20"/>
                <w:szCs w:val="20"/>
                <w:color w:val="auto"/>
              </w:rPr>
            </w:pPr>
            <w:r>
              <w:rPr>
                <w:rFonts w:ascii="Arial" w:cs="Arial" w:eastAsia="Arial" w:hAnsi="Arial"/>
                <w:sz w:val="22"/>
                <w:szCs w:val="22"/>
                <w:color w:val="auto"/>
              </w:rPr>
              <w:t>March 1, 2022</w:t>
            </w:r>
          </w:p>
        </w:tc>
        <w:tc>
          <w:tcPr>
            <w:tcW w:w="3620" w:type="dxa"/>
            <w:vAlign w:val="bottom"/>
          </w:tcPr>
          <w:p>
            <w:pPr>
              <w:jc w:val="right"/>
              <w:ind w:right="1752"/>
              <w:spacing w:after="0"/>
              <w:rPr>
                <w:sz w:val="20"/>
                <w:szCs w:val="20"/>
                <w:color w:val="auto"/>
              </w:rPr>
            </w:pPr>
            <w:r>
              <w:rPr>
                <w:rFonts w:ascii="Arial" w:cs="Arial" w:eastAsia="Arial" w:hAnsi="Arial"/>
                <w:sz w:val="22"/>
                <w:szCs w:val="22"/>
                <w:color w:val="auto"/>
              </w:rPr>
              <w:t>1/3 ($_________)</w:t>
            </w:r>
          </w:p>
        </w:tc>
      </w:tr>
      <w:tr>
        <w:trPr>
          <w:trHeight w:val="473"/>
        </w:trPr>
        <w:tc>
          <w:tcPr>
            <w:tcW w:w="1760" w:type="dxa"/>
            <w:vAlign w:val="bottom"/>
            <w:gridSpan w:val="2"/>
          </w:tcPr>
          <w:p>
            <w:pPr>
              <w:spacing w:after="0"/>
              <w:rPr>
                <w:sz w:val="20"/>
                <w:szCs w:val="20"/>
                <w:color w:val="auto"/>
              </w:rPr>
            </w:pPr>
            <w:r>
              <w:rPr>
                <w:rFonts w:ascii="Arial" w:cs="Arial" w:eastAsia="Arial" w:hAnsi="Arial"/>
                <w:sz w:val="22"/>
                <w:szCs w:val="22"/>
                <w:color w:val="auto"/>
              </w:rPr>
              <w:t>March 1, 2023</w:t>
            </w:r>
          </w:p>
        </w:tc>
        <w:tc>
          <w:tcPr>
            <w:tcW w:w="3620" w:type="dxa"/>
            <w:vAlign w:val="bottom"/>
          </w:tcPr>
          <w:p>
            <w:pPr>
              <w:jc w:val="right"/>
              <w:ind w:right="1752"/>
              <w:spacing w:after="0"/>
              <w:rPr>
                <w:sz w:val="20"/>
                <w:szCs w:val="20"/>
                <w:color w:val="auto"/>
              </w:rPr>
            </w:pPr>
            <w:r>
              <w:rPr>
                <w:rFonts w:ascii="Arial" w:cs="Arial" w:eastAsia="Arial" w:hAnsi="Arial"/>
                <w:sz w:val="22"/>
                <w:szCs w:val="22"/>
                <w:color w:val="auto"/>
              </w:rPr>
              <w:t>1/3 ($_________)</w:t>
            </w:r>
          </w:p>
        </w:tc>
      </w:tr>
      <w:tr>
        <w:trPr>
          <w:trHeight w:val="473"/>
        </w:trPr>
        <w:tc>
          <w:tcPr>
            <w:tcW w:w="1760" w:type="dxa"/>
            <w:vAlign w:val="bottom"/>
            <w:gridSpan w:val="2"/>
          </w:tcPr>
          <w:p>
            <w:pPr>
              <w:spacing w:after="0"/>
              <w:rPr>
                <w:sz w:val="20"/>
                <w:szCs w:val="20"/>
                <w:color w:val="auto"/>
              </w:rPr>
            </w:pPr>
            <w:r>
              <w:rPr>
                <w:rFonts w:ascii="Arial" w:cs="Arial" w:eastAsia="Arial" w:hAnsi="Arial"/>
                <w:sz w:val="22"/>
                <w:szCs w:val="22"/>
                <w:color w:val="auto"/>
              </w:rPr>
              <w:t>March 1, 2024</w:t>
            </w:r>
          </w:p>
        </w:tc>
        <w:tc>
          <w:tcPr>
            <w:tcW w:w="3620" w:type="dxa"/>
            <w:vAlign w:val="bottom"/>
          </w:tcPr>
          <w:p>
            <w:pPr>
              <w:jc w:val="right"/>
              <w:ind w:right="1692"/>
              <w:spacing w:after="0"/>
              <w:rPr>
                <w:sz w:val="20"/>
                <w:szCs w:val="20"/>
                <w:color w:val="auto"/>
              </w:rPr>
            </w:pPr>
            <w:r>
              <w:rPr>
                <w:rFonts w:ascii="Arial" w:cs="Arial" w:eastAsia="Arial" w:hAnsi="Arial"/>
                <w:sz w:val="22"/>
                <w:szCs w:val="22"/>
                <w:color w:val="auto"/>
              </w:rPr>
              <w:t>1/3 ($_________)</w:t>
            </w:r>
          </w:p>
        </w:tc>
      </w:tr>
    </w:tbl>
    <w:p>
      <w:pPr>
        <w:spacing w:after="0" w:line="198" w:lineRule="exact"/>
        <w:rPr>
          <w:sz w:val="20"/>
          <w:szCs w:val="20"/>
          <w:color w:val="auto"/>
        </w:rPr>
      </w:pPr>
    </w:p>
    <w:p>
      <w:pPr>
        <w:ind w:right="120"/>
        <w:spacing w:after="0" w:line="302" w:lineRule="auto"/>
        <w:rPr>
          <w:sz w:val="20"/>
          <w:szCs w:val="20"/>
          <w:color w:val="auto"/>
        </w:rPr>
      </w:pPr>
      <w:r>
        <w:rPr>
          <w:rFonts w:ascii="Arial" w:cs="Arial" w:eastAsia="Arial" w:hAnsi="Arial"/>
          <w:sz w:val="19"/>
          <w:szCs w:val="19"/>
          <w:color w:val="auto"/>
        </w:rPr>
        <w:t>Each Retention Bonus Payment will be paid within thirty (30) days after becoming vested on account of continuous service with the Company under this Paragraph 2. For purposes of this Agreement, the term “Company” shall include any subsidiary of the Company that employs the Executive. Upon any termination of the Executive’s employment prior to a Vesting Date set forth above, all remaining Retention Bonus Payments shall be immediately forfeited except as provided in Paragraph 3 below.</w:t>
      </w:r>
    </w:p>
    <w:p>
      <w:pPr>
        <w:spacing w:after="0" w:line="142" w:lineRule="exact"/>
        <w:rPr>
          <w:sz w:val="20"/>
          <w:szCs w:val="20"/>
          <w:color w:val="auto"/>
        </w:rPr>
      </w:pPr>
    </w:p>
    <w:p>
      <w:pPr>
        <w:ind w:right="280" w:firstLine="8"/>
        <w:spacing w:after="0" w:line="263" w:lineRule="auto"/>
        <w:tabs>
          <w:tab w:leader="none" w:pos="378" w:val="left"/>
        </w:tabs>
        <w:numPr>
          <w:ilvl w:val="0"/>
          <w:numId w:val="14"/>
        </w:numPr>
        <w:rPr>
          <w:rFonts w:ascii="Arial" w:cs="Arial" w:eastAsia="Arial" w:hAnsi="Arial"/>
          <w:sz w:val="22"/>
          <w:szCs w:val="22"/>
          <w:color w:val="auto"/>
        </w:rPr>
      </w:pPr>
      <w:r>
        <w:rPr>
          <w:rFonts w:ascii="Arial" w:cs="Arial" w:eastAsia="Arial" w:hAnsi="Arial"/>
          <w:sz w:val="22"/>
          <w:szCs w:val="22"/>
          <w:color w:val="auto"/>
        </w:rPr>
        <w:t>If (a) the Executive dies or becomes Permanently Disabled, (b) the Executive’s employment is involuntarily terminated by the Company without Cause, or (c) the Executive</w:t>
      </w:r>
    </w:p>
    <w:p>
      <w:pPr>
        <w:sectPr>
          <w:pgSz w:w="11900" w:h="16838" w:orient="portrait"/>
          <w:cols w:equalWidth="0" w:num="1">
            <w:col w:w="11240"/>
          </w:cols>
          <w:pgMar w:left="320" w:top="118"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92" w:lineRule="auto"/>
        <w:rPr>
          <w:sz w:val="20"/>
          <w:szCs w:val="20"/>
          <w:color w:val="auto"/>
        </w:rPr>
      </w:pPr>
      <w:r>
        <w:rPr>
          <w:rFonts w:ascii="Arial" w:cs="Arial" w:eastAsia="Arial" w:hAnsi="Arial"/>
          <w:sz w:val="19"/>
          <w:szCs w:val="19"/>
          <w:color w:val="auto"/>
        </w:rPr>
        <w:t>voluntarily terminates employment for Good Reason, and if Executive (or, if applicable, Executive’s estate or legal representative), signs and does not revoke a Release as provided under Paragraph 5 below, Huron shall pay a pro-rata portion of the next scheduled Retention Bonus Payment to the Executive (or the Executive’s estate or personal representative, as applicable) within thirty (30) days after any such termination of employment. For purposes of this Agreement, the pro-rata portion will be determined by multiplying (x) the next scheduled Retention Bonus Payment under the table in Paragraph 2 above, by (y) a fraction, the numerator of which is the number of days Executive was employed by the Company since the immediately preceding March 1st until terminating employment and the denominator of which is 365.</w:t>
      </w:r>
    </w:p>
    <w:p>
      <w:pPr>
        <w:spacing w:after="0" w:line="151" w:lineRule="exact"/>
        <w:rPr>
          <w:sz w:val="20"/>
          <w:szCs w:val="20"/>
          <w:color w:val="auto"/>
        </w:rPr>
      </w:pPr>
    </w:p>
    <w:p>
      <w:pPr>
        <w:jc w:val="both"/>
        <w:ind w:right="140" w:firstLine="8"/>
        <w:spacing w:after="0" w:line="265" w:lineRule="auto"/>
        <w:tabs>
          <w:tab w:leader="none" w:pos="374" w:val="left"/>
        </w:tabs>
        <w:numPr>
          <w:ilvl w:val="0"/>
          <w:numId w:val="15"/>
        </w:numPr>
        <w:rPr>
          <w:rFonts w:ascii="Arial" w:cs="Arial" w:eastAsia="Arial" w:hAnsi="Arial"/>
          <w:sz w:val="21"/>
          <w:szCs w:val="21"/>
          <w:color w:val="auto"/>
        </w:rPr>
      </w:pPr>
      <w:r>
        <w:rPr>
          <w:rFonts w:ascii="Arial" w:cs="Arial" w:eastAsia="Arial" w:hAnsi="Arial"/>
          <w:sz w:val="21"/>
          <w:szCs w:val="21"/>
          <w:color w:val="auto"/>
        </w:rPr>
        <w:t>Whether the Executive has become Permanently Disabled or the Executive’s employment has been involuntarily terminated by the Company without “Cause” or has been terminated by the Executive for “Good Reason” under Paragraph 3 above shall be determined pursuant to the terms of the Senior Management Agreement by and between Huron and the Executive dated [insert: applicable date] (the “Senior Management Agreement”).</w:t>
      </w:r>
    </w:p>
    <w:p>
      <w:pPr>
        <w:spacing w:after="0" w:line="175" w:lineRule="exact"/>
        <w:rPr>
          <w:rFonts w:ascii="Arial" w:cs="Arial" w:eastAsia="Arial" w:hAnsi="Arial"/>
          <w:sz w:val="21"/>
          <w:szCs w:val="21"/>
          <w:color w:val="auto"/>
        </w:rPr>
      </w:pPr>
    </w:p>
    <w:p>
      <w:pPr>
        <w:ind w:right="60" w:firstLine="8"/>
        <w:spacing w:after="0" w:line="294" w:lineRule="auto"/>
        <w:tabs>
          <w:tab w:leader="none" w:pos="366" w:val="left"/>
        </w:tabs>
        <w:numPr>
          <w:ilvl w:val="0"/>
          <w:numId w:val="15"/>
        </w:numPr>
        <w:rPr>
          <w:rFonts w:ascii="Arial" w:cs="Arial" w:eastAsia="Arial" w:hAnsi="Arial"/>
          <w:sz w:val="19"/>
          <w:szCs w:val="19"/>
          <w:color w:val="auto"/>
        </w:rPr>
      </w:pPr>
      <w:r>
        <w:rPr>
          <w:rFonts w:ascii="Arial" w:cs="Arial" w:eastAsia="Arial" w:hAnsi="Arial"/>
          <w:sz w:val="19"/>
          <w:szCs w:val="19"/>
          <w:color w:val="auto"/>
        </w:rPr>
        <w:t>Any payment of a Retention Bonus Payment after the Executive’s termination of employment that becomes vested under Paragraph 3 above shall be conditioned on Executive (or Executive’s estate or personal representative, as applicable) executing after such termination of employment, and not revoking, a written general release in a form acceptable to the Company (the “Release”), of any and all claims against the Company and all related parties with respect to all matters arising out of Executive’s employment by the Company, or the termination thereof (other than claims based upon any entitlements under the terms of this Agreement or entitlements under any plans or programs of the Company under which Executive has accrued a vested benefit).</w:t>
      </w:r>
    </w:p>
    <w:p>
      <w:pPr>
        <w:spacing w:after="0" w:line="149" w:lineRule="exact"/>
        <w:rPr>
          <w:rFonts w:ascii="Arial" w:cs="Arial" w:eastAsia="Arial" w:hAnsi="Arial"/>
          <w:sz w:val="19"/>
          <w:szCs w:val="19"/>
          <w:color w:val="auto"/>
        </w:rPr>
      </w:pPr>
    </w:p>
    <w:p>
      <w:pPr>
        <w:ind w:left="380" w:hanging="372"/>
        <w:spacing w:after="0"/>
        <w:tabs>
          <w:tab w:leader="none" w:pos="3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Executive shall be eligible to receive Retention Bonus Payments under the terms of this Agreement notwithstanding any</w:t>
      </w:r>
    </w:p>
    <w:p>
      <w:pPr>
        <w:spacing w:after="0" w:line="55" w:lineRule="exact"/>
        <w:rPr>
          <w:rFonts w:ascii="Arial" w:cs="Arial" w:eastAsia="Arial" w:hAnsi="Arial"/>
          <w:sz w:val="19"/>
          <w:szCs w:val="19"/>
          <w:color w:val="auto"/>
        </w:rPr>
      </w:pPr>
    </w:p>
    <w:p>
      <w:pPr>
        <w:ind w:right="60"/>
        <w:spacing w:after="0" w:line="244" w:lineRule="auto"/>
        <w:rPr>
          <w:rFonts w:ascii="Arial" w:cs="Arial" w:eastAsia="Arial" w:hAnsi="Arial"/>
          <w:sz w:val="19"/>
          <w:szCs w:val="19"/>
          <w:color w:val="auto"/>
        </w:rPr>
      </w:pPr>
      <w:r>
        <w:rPr>
          <w:rFonts w:ascii="Arial" w:cs="Arial" w:eastAsia="Arial" w:hAnsi="Arial"/>
          <w:sz w:val="22"/>
          <w:szCs w:val="22"/>
          <w:color w:val="auto"/>
        </w:rPr>
        <w:t>provision in any agreement between the Parties to the contrary, including without limitation, the Senior Management Agreement. The Retention Bonus Payments shall be considered a form of special pay, and not a form of compensation earned under any annual bonus and cash incentive plans for purposes of the Huron Consulting Group Inc. Deferred Compensation Plan and the Senior Management Agreement.</w:t>
      </w:r>
    </w:p>
    <w:p>
      <w:pPr>
        <w:spacing w:after="0" w:line="195" w:lineRule="exact"/>
        <w:rPr>
          <w:rFonts w:ascii="Arial" w:cs="Arial" w:eastAsia="Arial" w:hAnsi="Arial"/>
          <w:sz w:val="19"/>
          <w:szCs w:val="19"/>
          <w:color w:val="auto"/>
        </w:rPr>
      </w:pPr>
    </w:p>
    <w:p>
      <w:pPr>
        <w:ind w:right="80" w:firstLine="8"/>
        <w:spacing w:after="0" w:line="289" w:lineRule="auto"/>
        <w:tabs>
          <w:tab w:leader="none" w:pos="374"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This Agreement is intended to comply with the requirements of section 409A of the Internal Revenue Code of 1986, as amended, or an exemption (specifically, the short term deferral exemption of section 409A), and shall in all respects be interpreted and administered in accordance with section 409A. Distributions may only be made under the Agreement upon an event and in a manner permitted by section 409A or an exemption. All payments to be made upon a termination of employment under this Agreement may only be made upon a “separation from service” under Section 409A. Notwithstanding anything in this Agreement to the contrary, if payment of any amount under this Agreement is required to be delayed for a period of six months after separation from service pursuant to Section 409A, payment of such amount shall be delayed as required by Section 409A, and the amount shall be paid in a lump-sum payment within ten days after the end of the six-month period. In no event may the Executive, directly or indirectly, designate the calendar year of a payment, and if a payment that is subject to execution</w:t>
      </w:r>
    </w:p>
    <w:p>
      <w:pPr>
        <w:sectPr>
          <w:pgSz w:w="11900" w:h="16838" w:orient="portrait"/>
          <w:cols w:equalWidth="0" w:num="1">
            <w:col w:w="11240"/>
          </w:cols>
          <w:pgMar w:left="320" w:top="118"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00"/>
        <w:spacing w:after="0" w:line="312" w:lineRule="auto"/>
        <w:rPr>
          <w:sz w:val="20"/>
          <w:szCs w:val="20"/>
          <w:color w:val="auto"/>
        </w:rPr>
      </w:pPr>
      <w:r>
        <w:rPr>
          <w:rFonts w:ascii="Arial" w:cs="Arial" w:eastAsia="Arial" w:hAnsi="Arial"/>
          <w:sz w:val="19"/>
          <w:szCs w:val="19"/>
          <w:color w:val="auto"/>
        </w:rPr>
        <w:t>of the Release could be made in more than one taxable year, based on timing of the execution of the Release, payment shall be made in the later year. Huron does not represent, warrant or guarantee that Retention Bonus Payments will not result in inclusion in the Executive’s gross income, or any penalty, pursuant to Section 409A or any similar state statute or regulation.</w:t>
      </w:r>
    </w:p>
    <w:p>
      <w:pPr>
        <w:spacing w:after="0" w:line="133"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Retention Bonus Payments will be subject to all minimum required federal, state, and local tax and other withholdings.</w:t>
      </w:r>
    </w:p>
    <w:p>
      <w:pPr>
        <w:spacing w:after="0" w:line="254" w:lineRule="exact"/>
        <w:rPr>
          <w:rFonts w:ascii="Arial" w:cs="Arial" w:eastAsia="Arial" w:hAnsi="Arial"/>
          <w:sz w:val="19"/>
          <w:szCs w:val="19"/>
          <w:color w:val="auto"/>
        </w:rPr>
      </w:pPr>
    </w:p>
    <w:p>
      <w:pPr>
        <w:ind w:right="40" w:firstLine="8"/>
        <w:spacing w:after="0" w:line="343" w:lineRule="auto"/>
        <w:tabs>
          <w:tab w:leader="none" w:pos="374"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This Agreement does not affect the Executive’s at-will employment status. Nothing in this Agreement shall be construed as a commitment or understanding of any kind or nature that the Company will continue to employ the Executive.</w:t>
      </w:r>
    </w:p>
    <w:p>
      <w:pPr>
        <w:spacing w:after="0" w:line="104" w:lineRule="exact"/>
        <w:rPr>
          <w:rFonts w:ascii="Arial" w:cs="Arial" w:eastAsia="Arial" w:hAnsi="Arial"/>
          <w:sz w:val="19"/>
          <w:szCs w:val="19"/>
          <w:color w:val="auto"/>
        </w:rPr>
      </w:pPr>
    </w:p>
    <w:p>
      <w:pPr>
        <w:ind w:right="420" w:firstLine="8"/>
        <w:spacing w:after="0" w:line="253" w:lineRule="auto"/>
        <w:tabs>
          <w:tab w:leader="none" w:pos="486" w:val="left"/>
        </w:tabs>
        <w:numPr>
          <w:ilvl w:val="0"/>
          <w:numId w:val="16"/>
        </w:numPr>
        <w:rPr>
          <w:rFonts w:ascii="Arial" w:cs="Arial" w:eastAsia="Arial" w:hAnsi="Arial"/>
          <w:sz w:val="22"/>
          <w:szCs w:val="22"/>
          <w:color w:val="auto"/>
        </w:rPr>
      </w:pPr>
      <w:r>
        <w:rPr>
          <w:rFonts w:ascii="Arial" w:cs="Arial" w:eastAsia="Arial" w:hAnsi="Arial"/>
          <w:sz w:val="22"/>
          <w:szCs w:val="22"/>
          <w:color w:val="auto"/>
        </w:rPr>
        <w:t>By signing this Agreement, Executive reaffirms and acknowledges all of Executive’s obligations under the Restrictive Covenants (as defined and set forth in the Senior Management Agreement), which remain in full force and effect and survive Executive’s termination of employment with the Company.</w:t>
      </w:r>
    </w:p>
    <w:p>
      <w:pPr>
        <w:spacing w:after="0" w:line="185" w:lineRule="exact"/>
        <w:rPr>
          <w:rFonts w:ascii="Arial" w:cs="Arial" w:eastAsia="Arial" w:hAnsi="Arial"/>
          <w:sz w:val="22"/>
          <w:szCs w:val="22"/>
          <w:color w:val="auto"/>
        </w:rPr>
      </w:pPr>
    </w:p>
    <w:p>
      <w:pPr>
        <w:jc w:val="both"/>
        <w:ind w:right="300" w:firstLine="8"/>
        <w:spacing w:after="0" w:line="271" w:lineRule="auto"/>
        <w:tabs>
          <w:tab w:leader="none" w:pos="478" w:val="left"/>
        </w:tabs>
        <w:numPr>
          <w:ilvl w:val="0"/>
          <w:numId w:val="16"/>
        </w:numPr>
        <w:rPr>
          <w:rFonts w:ascii="Arial" w:cs="Arial" w:eastAsia="Arial" w:hAnsi="Arial"/>
          <w:sz w:val="21"/>
          <w:szCs w:val="21"/>
          <w:color w:val="auto"/>
        </w:rPr>
      </w:pPr>
      <w:r>
        <w:rPr>
          <w:rFonts w:ascii="Arial" w:cs="Arial" w:eastAsia="Arial" w:hAnsi="Arial"/>
          <w:sz w:val="21"/>
          <w:szCs w:val="21"/>
          <w:color w:val="auto"/>
        </w:rPr>
        <w:t>None of the rights or benefits under this Agreement shall be subject to the claims of any of the Executive’s creditors, and the Executive shall not have the right to alienate, anticipate, pledge, encumber or assign any of the rights or benefits under this Agreement. Executive will in all respects be an unsecured creditor of the Company.</w:t>
      </w:r>
    </w:p>
    <w:p>
      <w:pPr>
        <w:spacing w:after="0" w:line="167" w:lineRule="exact"/>
        <w:rPr>
          <w:rFonts w:ascii="Arial" w:cs="Arial" w:eastAsia="Arial" w:hAnsi="Arial"/>
          <w:sz w:val="21"/>
          <w:szCs w:val="21"/>
          <w:color w:val="auto"/>
        </w:rPr>
      </w:pPr>
    </w:p>
    <w:p>
      <w:pPr>
        <w:ind w:firstLine="8"/>
        <w:spacing w:after="0" w:line="263" w:lineRule="auto"/>
        <w:tabs>
          <w:tab w:leader="none" w:pos="482" w:val="left"/>
        </w:tabs>
        <w:numPr>
          <w:ilvl w:val="0"/>
          <w:numId w:val="16"/>
        </w:numPr>
        <w:rPr>
          <w:rFonts w:ascii="Arial" w:cs="Arial" w:eastAsia="Arial" w:hAnsi="Arial"/>
          <w:sz w:val="21"/>
          <w:szCs w:val="21"/>
          <w:color w:val="auto"/>
        </w:rPr>
      </w:pPr>
      <w:r>
        <w:rPr>
          <w:rFonts w:ascii="Arial" w:cs="Arial" w:eastAsia="Arial" w:hAnsi="Arial"/>
          <w:sz w:val="21"/>
          <w:szCs w:val="21"/>
          <w:color w:val="auto"/>
        </w:rPr>
        <w:t>This Agreement will be binding on Executive’s heirs, executors and administrators, and on the successors and assigns of Huron. Huron shall require any successor (whether direct or indirect, by purchase, merger, consolidation, reorganization or otherwise) to all or substantially all of the business or assets of the Company, within five (5) days of such succession, expressly to assume and agree to perform this Agreement in the same manner and to the same extent as the Company would be required to perform if no such succession had taken place.</w:t>
      </w:r>
    </w:p>
    <w:p>
      <w:pPr>
        <w:spacing w:after="0" w:line="175" w:lineRule="exact"/>
        <w:rPr>
          <w:rFonts w:ascii="Arial" w:cs="Arial" w:eastAsia="Arial" w:hAnsi="Arial"/>
          <w:sz w:val="21"/>
          <w:szCs w:val="21"/>
          <w:color w:val="auto"/>
        </w:rPr>
      </w:pPr>
    </w:p>
    <w:p>
      <w:pPr>
        <w:ind w:right="420" w:firstLine="8"/>
        <w:spacing w:after="0" w:line="263" w:lineRule="auto"/>
        <w:tabs>
          <w:tab w:leader="none" w:pos="536"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This Agreement shall terminate immediately after the Retention Bonus is paid in full or after Huron determines that no further Retention Bonus Payments will be paid hereunder.</w:t>
      </w:r>
    </w:p>
    <w:p>
      <w:pPr>
        <w:spacing w:after="0" w:line="174" w:lineRule="exact"/>
        <w:rPr>
          <w:rFonts w:ascii="Arial" w:cs="Arial" w:eastAsia="Arial" w:hAnsi="Arial"/>
          <w:sz w:val="22"/>
          <w:szCs w:val="22"/>
          <w:color w:val="auto"/>
        </w:rPr>
      </w:pPr>
    </w:p>
    <w:p>
      <w:pPr>
        <w:ind w:right="120" w:firstLine="8"/>
        <w:spacing w:after="0" w:line="253" w:lineRule="auto"/>
        <w:tabs>
          <w:tab w:leader="none" w:pos="482"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This Agreement constitutes the entire agreement of the Parties with regard to the Retention Bonus (including the Retention Bonus Payments). This Agreement may be amended only by written agreement signed by an authorized representative of each Party.</w:t>
      </w:r>
    </w:p>
    <w:p>
      <w:pPr>
        <w:spacing w:after="0" w:line="185" w:lineRule="exact"/>
        <w:rPr>
          <w:rFonts w:ascii="Arial" w:cs="Arial" w:eastAsia="Arial" w:hAnsi="Arial"/>
          <w:sz w:val="22"/>
          <w:szCs w:val="22"/>
          <w:color w:val="auto"/>
        </w:rPr>
      </w:pPr>
    </w:p>
    <w:p>
      <w:pPr>
        <w:ind w:right="100" w:firstLine="8"/>
        <w:spacing w:after="0" w:line="287" w:lineRule="auto"/>
        <w:tabs>
          <w:tab w:leader="none" w:pos="536" w:val="left"/>
        </w:tabs>
        <w:numPr>
          <w:ilvl w:val="0"/>
          <w:numId w:val="16"/>
        </w:numPr>
        <w:rPr>
          <w:rFonts w:ascii="Arial" w:cs="Arial" w:eastAsia="Arial" w:hAnsi="Arial"/>
          <w:sz w:val="21"/>
          <w:szCs w:val="21"/>
          <w:color w:val="auto"/>
        </w:rPr>
      </w:pPr>
      <w:r>
        <w:rPr>
          <w:rFonts w:ascii="Arial" w:cs="Arial" w:eastAsia="Arial" w:hAnsi="Arial"/>
          <w:sz w:val="21"/>
          <w:szCs w:val="21"/>
          <w:color w:val="auto"/>
        </w:rPr>
        <w:t>This Agreement may be executed in any number of counterparts (including facsimile or as a “pdf’ or similar attachment to an email), each of which shall be an original, but all of which together shall constitute one instrument.</w:t>
      </w:r>
    </w:p>
    <w:p>
      <w:pPr>
        <w:spacing w:after="0" w:line="151" w:lineRule="exact"/>
        <w:rPr>
          <w:rFonts w:ascii="Arial" w:cs="Arial" w:eastAsia="Arial" w:hAnsi="Arial"/>
          <w:sz w:val="21"/>
          <w:szCs w:val="21"/>
          <w:color w:val="auto"/>
        </w:rPr>
      </w:pPr>
    </w:p>
    <w:p>
      <w:pPr>
        <w:ind w:right="80" w:firstLine="8"/>
        <w:spacing w:after="0" w:line="343" w:lineRule="auto"/>
        <w:tabs>
          <w:tab w:leader="none" w:pos="482"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This Agreement shall be governed and construed in accordance with the laws of Illinois applicable to agreements made and to be performed entirely within such state, without regard to conflicts of laws principles, unless superseded by federal law.</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color w:val="auto"/>
        </w:rPr>
        <w:t>The Remainder of this Page is Intentionally Blank</w:t>
      </w:r>
    </w:p>
    <w:p>
      <w:pPr>
        <w:sectPr>
          <w:pgSz w:w="11900" w:h="16838" w:orient="portrait"/>
          <w:cols w:equalWidth="0" w:num="1">
            <w:col w:w="11240"/>
          </w:cols>
          <w:pgMar w:left="320" w:top="11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hereto have executed this Agreement as of the date written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HURON CONSULTING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[Insert: Executive’s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w:t>
      </w:r>
    </w:p>
    <w:p>
      <w:pPr>
        <w:sectPr>
          <w:pgSz w:w="11900" w:h="16838" w:orient="portrait"/>
          <w:cols w:equalWidth="0" w:num="1">
            <w:col w:w="11240"/>
          </w:cols>
          <w:pgMar w:left="320" w:top="11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340" w:right="2540"/>
        <w:spacing w:after="0" w:line="268"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60" w:hanging="332"/>
        <w:spacing w:after="0" w:line="256" w:lineRule="auto"/>
        <w:tabs>
          <w:tab w:leader="none" w:pos="3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8"/>
          <w:szCs w:val="18"/>
          <w:color w:val="auto"/>
        </w:rPr>
      </w:pPr>
    </w:p>
    <w:p>
      <w:pPr>
        <w:ind w:left="340" w:right="160" w:hanging="332"/>
        <w:spacing w:after="0" w:line="291" w:lineRule="auto"/>
        <w:tabs>
          <w:tab w:leader="none" w:pos="3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140" w:hanging="332"/>
        <w:spacing w:after="0" w:line="265" w:lineRule="auto"/>
        <w:tabs>
          <w:tab w:leader="none" w:pos="3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ind w:left="660" w:right="60" w:hanging="328"/>
        <w:spacing w:after="0" w:line="256" w:lineRule="auto"/>
        <w:tabs>
          <w:tab w:leader="none" w:pos="68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660" w:right="100" w:hanging="328"/>
        <w:spacing w:after="0" w:line="256" w:lineRule="auto"/>
        <w:tabs>
          <w:tab w:leader="none" w:pos="68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660" w:right="60" w:hanging="328"/>
        <w:spacing w:after="0" w:line="256" w:lineRule="auto"/>
        <w:tabs>
          <w:tab w:leader="none" w:pos="675"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660" w:right="360" w:hanging="328"/>
        <w:spacing w:after="0" w:line="256" w:lineRule="auto"/>
        <w:tabs>
          <w:tab w:leader="none" w:pos="68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8"/>
          <w:szCs w:val="18"/>
          <w:color w:val="auto"/>
        </w:rPr>
      </w:pPr>
    </w:p>
    <w:p>
      <w:pPr>
        <w:ind w:left="340" w:right="100" w:hanging="332"/>
        <w:spacing w:after="0" w:line="256" w:lineRule="auto"/>
        <w:tabs>
          <w:tab w:leader="none" w:pos="3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ind w:left="660" w:right="240" w:hanging="328"/>
        <w:spacing w:after="0" w:line="261" w:lineRule="auto"/>
        <w:tabs>
          <w:tab w:leader="none" w:pos="68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480" w:hanging="328"/>
        <w:spacing w:after="0" w:line="261" w:lineRule="auto"/>
        <w:tabs>
          <w:tab w:leader="none" w:pos="68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0"/>
        <w:spacing w:after="0"/>
        <w:tabs>
          <w:tab w:leader="none" w:pos="1660" w:val="left"/>
          <w:tab w:leader="none" w:pos="7020" w:val="left"/>
          <w:tab w:leader="none" w:pos="8400" w:val="left"/>
          <w:tab w:leader="none" w:pos="8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6350</wp:posOffset>
            </wp:positionV>
            <wp:extent cx="23914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9141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6350</wp:posOffset>
            </wp:positionV>
            <wp:extent cx="12172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16" w:lineRule="exact"/>
        <w:rPr>
          <w:sz w:val="20"/>
          <w:szCs w:val="20"/>
          <w:color w:val="auto"/>
        </w:rPr>
      </w:pPr>
    </w:p>
    <w:p>
      <w:pPr>
        <w:jc w:val="center"/>
        <w:ind w:left="7380"/>
        <w:spacing w:after="0"/>
        <w:rPr>
          <w:sz w:val="20"/>
          <w:szCs w:val="20"/>
          <w:color w:val="auto"/>
        </w:rPr>
      </w:pPr>
      <w:r>
        <w:rPr>
          <w:rFonts w:ascii="Arial" w:cs="Arial" w:eastAsia="Arial" w:hAnsi="Arial"/>
          <w:sz w:val="18"/>
          <w:szCs w:val="18"/>
          <w:color w:val="auto"/>
        </w:rPr>
        <w:t>James H. Roth</w:t>
      </w:r>
    </w:p>
    <w:p>
      <w:pPr>
        <w:spacing w:after="0" w:line="23" w:lineRule="exact"/>
        <w:rPr>
          <w:sz w:val="20"/>
          <w:szCs w:val="20"/>
          <w:color w:val="auto"/>
        </w:rPr>
      </w:pPr>
    </w:p>
    <w:p>
      <w:pPr>
        <w:jc w:val="center"/>
        <w:ind w:left="7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86"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340" w:right="2540"/>
        <w:spacing w:after="0" w:line="268"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60" w:hanging="332"/>
        <w:spacing w:after="0" w:line="256" w:lineRule="auto"/>
        <w:tabs>
          <w:tab w:leader="none" w:pos="3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8"/>
          <w:szCs w:val="18"/>
          <w:color w:val="auto"/>
        </w:rPr>
      </w:pPr>
    </w:p>
    <w:p>
      <w:pPr>
        <w:ind w:left="340" w:right="160" w:hanging="332"/>
        <w:spacing w:after="0" w:line="291" w:lineRule="auto"/>
        <w:tabs>
          <w:tab w:leader="none" w:pos="3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140" w:hanging="332"/>
        <w:spacing w:after="0" w:line="265" w:lineRule="auto"/>
        <w:tabs>
          <w:tab w:leader="none" w:pos="3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ind w:left="660" w:right="60" w:hanging="328"/>
        <w:spacing w:after="0" w:line="256" w:lineRule="auto"/>
        <w:tabs>
          <w:tab w:leader="none" w:pos="68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660" w:right="100" w:hanging="328"/>
        <w:spacing w:after="0" w:line="256" w:lineRule="auto"/>
        <w:tabs>
          <w:tab w:leader="none" w:pos="68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660" w:right="60" w:hanging="328"/>
        <w:spacing w:after="0" w:line="256" w:lineRule="auto"/>
        <w:tabs>
          <w:tab w:leader="none" w:pos="675"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660" w:right="360" w:hanging="328"/>
        <w:spacing w:after="0" w:line="256" w:lineRule="auto"/>
        <w:tabs>
          <w:tab w:leader="none" w:pos="68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8"/>
          <w:szCs w:val="18"/>
          <w:color w:val="auto"/>
        </w:rPr>
      </w:pPr>
    </w:p>
    <w:p>
      <w:pPr>
        <w:ind w:left="340" w:right="100" w:hanging="332"/>
        <w:spacing w:after="0" w:line="256" w:lineRule="auto"/>
        <w:tabs>
          <w:tab w:leader="none" w:pos="3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ind w:left="660" w:right="240" w:hanging="328"/>
        <w:spacing w:after="0" w:line="261" w:lineRule="auto"/>
        <w:tabs>
          <w:tab w:leader="none" w:pos="68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480" w:hanging="328"/>
        <w:spacing w:after="0" w:line="261" w:lineRule="auto"/>
        <w:tabs>
          <w:tab w:leader="none" w:pos="68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1660" w:val="left"/>
          <w:tab w:leader="none" w:pos="7020" w:val="left"/>
          <w:tab w:leader="none" w:pos="8440" w:val="left"/>
          <w:tab w:leader="none" w:pos="8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D.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6350</wp:posOffset>
            </wp:positionV>
            <wp:extent cx="23914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6350</wp:posOffset>
            </wp:positionV>
            <wp:extent cx="12172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6"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John D. Kelly</w:t>
      </w:r>
    </w:p>
    <w:p>
      <w:pPr>
        <w:ind w:left="8280"/>
        <w:spacing w:after="0" w:line="229" w:lineRule="auto"/>
        <w:rPr>
          <w:sz w:val="20"/>
          <w:szCs w:val="20"/>
          <w:color w:val="auto"/>
        </w:rPr>
      </w:pPr>
      <w:r>
        <w:rPr>
          <w:rFonts w:ascii="Arial" w:cs="Arial" w:eastAsia="Arial" w:hAnsi="Arial"/>
          <w:sz w:val="18"/>
          <w:szCs w:val="18"/>
          <w:color w:val="auto"/>
        </w:rPr>
        <w:t>Executive Vice President,</w:t>
      </w:r>
    </w:p>
    <w:p>
      <w:pPr>
        <w:spacing w:after="0" w:line="1"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40"/>
          </w:cols>
          <w:pgMar w:left="320" w:top="886"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340" w:right="2580"/>
        <w:spacing w:after="0" w:line="268"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as filed with the Securities and Exchange Commission on the date hereof (the "Report"), I, James H. Roth, Chief Executive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Officer of the Company, hereby certify, pursuant to 18 U.S.C. Section 1350, as adopted pursuant to Section 906 of the Sarbanes-Oxley Act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2002, that:</w:t>
      </w:r>
    </w:p>
    <w:p>
      <w:pPr>
        <w:spacing w:after="0" w:line="171" w:lineRule="exact"/>
        <w:rPr>
          <w:sz w:val="20"/>
          <w:szCs w:val="20"/>
          <w:color w:val="auto"/>
        </w:rPr>
      </w:pPr>
    </w:p>
    <w:p>
      <w:pPr>
        <w:ind w:left="840" w:hanging="346"/>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61" w:lineRule="auto"/>
        <w:tabs>
          <w:tab w:leader="none" w:pos="8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7" w:lineRule="exact"/>
        <w:rPr>
          <w:sz w:val="20"/>
          <w:szCs w:val="20"/>
          <w:color w:val="auto"/>
        </w:rPr>
      </w:pPr>
    </w:p>
    <w:p>
      <w:pPr>
        <w:ind w:left="20"/>
        <w:spacing w:after="0"/>
        <w:tabs>
          <w:tab w:leader="none" w:pos="1660" w:val="left"/>
          <w:tab w:leader="none" w:pos="7020" w:val="left"/>
          <w:tab w:leader="none" w:pos="8480" w:val="left"/>
          <w:tab w:leader="none" w:pos="8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J</w:t>
      </w:r>
      <w:r>
        <w:rPr>
          <w:rFonts w:ascii="Arial" w:cs="Arial" w:eastAsia="Arial" w:hAnsi="Arial"/>
          <w:sz w:val="14"/>
          <w:szCs w:val="14"/>
          <w:color w:val="auto"/>
        </w:rPr>
        <w:t>AMES</w:t>
      </w:r>
      <w:r>
        <w:rPr>
          <w:rFonts w:ascii="Arial" w:cs="Arial" w:eastAsia="Arial" w:hAnsi="Arial"/>
          <w:sz w:val="18"/>
          <w:szCs w:val="18"/>
          <w:color w:val="auto"/>
        </w:rPr>
        <w:t xml:space="preserve"> H. R</w:t>
      </w:r>
      <w:r>
        <w:rPr>
          <w:rFonts w:ascii="Arial" w:cs="Arial" w:eastAsia="Arial" w:hAnsi="Arial"/>
          <w:sz w:val="14"/>
          <w:szCs w:val="14"/>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6350</wp:posOffset>
            </wp:positionV>
            <wp:extent cx="24003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0030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6350</wp:posOffset>
            </wp:positionV>
            <wp:extent cx="12172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6" w:lineRule="exact"/>
        <w:rPr>
          <w:sz w:val="20"/>
          <w:szCs w:val="20"/>
          <w:color w:val="auto"/>
        </w:rPr>
      </w:pPr>
    </w:p>
    <w:p>
      <w:pPr>
        <w:jc w:val="center"/>
        <w:ind w:left="7360"/>
        <w:spacing w:after="0"/>
        <w:rPr>
          <w:sz w:val="20"/>
          <w:szCs w:val="20"/>
          <w:color w:val="auto"/>
        </w:rPr>
      </w:pPr>
      <w:r>
        <w:rPr>
          <w:rFonts w:ascii="Arial" w:cs="Arial" w:eastAsia="Arial" w:hAnsi="Arial"/>
          <w:sz w:val="18"/>
          <w:szCs w:val="18"/>
          <w:color w:val="auto"/>
        </w:rPr>
        <w:t>James H. Roth</w:t>
      </w:r>
    </w:p>
    <w:p>
      <w:pPr>
        <w:spacing w:after="0" w:line="23" w:lineRule="exact"/>
        <w:rPr>
          <w:sz w:val="20"/>
          <w:szCs w:val="20"/>
          <w:color w:val="auto"/>
        </w:rPr>
      </w:pPr>
    </w:p>
    <w:p>
      <w:pPr>
        <w:jc w:val="center"/>
        <w:ind w:left="7360"/>
        <w:spacing w:after="0"/>
        <w:rPr>
          <w:sz w:val="20"/>
          <w:szCs w:val="20"/>
          <w:color w:val="auto"/>
        </w:rPr>
      </w:pPr>
      <w:r>
        <w:rPr>
          <w:rFonts w:ascii="Arial" w:cs="Arial" w:eastAsia="Arial" w:hAnsi="Arial"/>
          <w:sz w:val="18"/>
          <w:szCs w:val="18"/>
          <w:color w:val="auto"/>
        </w:rPr>
        <w:t>Chief Executive Officer</w:t>
      </w:r>
    </w:p>
    <w:p>
      <w:pPr>
        <w:spacing w:after="0" w:line="171"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50"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240"/>
          </w:cols>
          <w:pgMar w:left="320" w:top="886"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340" w:right="2580"/>
        <w:spacing w:after="0" w:line="268"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39"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March 31, 2021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150" w:lineRule="exact"/>
        <w:rPr>
          <w:sz w:val="20"/>
          <w:szCs w:val="20"/>
          <w:color w:val="auto"/>
        </w:rPr>
      </w:pPr>
    </w:p>
    <w:p>
      <w:pPr>
        <w:ind w:left="840" w:hanging="346"/>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61" w:lineRule="auto"/>
        <w:tabs>
          <w:tab w:leader="none" w:pos="8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7" w:lineRule="exact"/>
        <w:rPr>
          <w:sz w:val="20"/>
          <w:szCs w:val="20"/>
          <w:color w:val="auto"/>
        </w:rPr>
      </w:pPr>
    </w:p>
    <w:p>
      <w:pPr>
        <w:ind w:left="20"/>
        <w:spacing w:after="0"/>
        <w:tabs>
          <w:tab w:leader="none" w:pos="1660" w:val="left"/>
          <w:tab w:leader="none" w:pos="7020" w:val="left"/>
          <w:tab w:leader="none" w:pos="8520" w:val="left"/>
          <w:tab w:leader="none" w:pos="8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6350</wp:posOffset>
            </wp:positionV>
            <wp:extent cx="24003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0030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6350</wp:posOffset>
            </wp:positionV>
            <wp:extent cx="12172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16"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John D. Kelly</w:t>
      </w:r>
    </w:p>
    <w:p>
      <w:pPr>
        <w:ind w:left="8260"/>
        <w:spacing w:after="0" w:line="229" w:lineRule="auto"/>
        <w:rPr>
          <w:sz w:val="20"/>
          <w:szCs w:val="20"/>
          <w:color w:val="auto"/>
        </w:rPr>
      </w:pPr>
      <w:r>
        <w:rPr>
          <w:rFonts w:ascii="Arial" w:cs="Arial" w:eastAsia="Arial" w:hAnsi="Arial"/>
          <w:sz w:val="18"/>
          <w:szCs w:val="18"/>
          <w:color w:val="auto"/>
        </w:rPr>
        <w:t>Executive Vice President,</w:t>
      </w:r>
    </w:p>
    <w:p>
      <w:pPr>
        <w:spacing w:after="0" w:line="1"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Financial Officer and Treasurer</w:t>
      </w:r>
    </w:p>
    <w:p>
      <w:pPr>
        <w:spacing w:after="0" w:line="171"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50"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lowerRoman"/>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2"/>
    </w:lvl>
  </w:abstractNum>
  <w:abstractNum w:abstractNumId="9">
    <w:nsid w:val="1BEFD79F"/>
    <w:multiLevelType w:val="hybridMultilevel"/>
    <w:lvl w:ilvl="0">
      <w:lvlJc w:val="left"/>
      <w:lvlText w:val="(%1)"/>
      <w:numFmt w:val="decimal"/>
      <w:start w:val="6"/>
    </w:lvl>
  </w:abstractNum>
  <w:abstractNum w:abstractNumId="10">
    <w:nsid w:val="41A7C4C9"/>
    <w:multiLevelType w:val="hybridMultilevel"/>
    <w:lvl w:ilvl="0">
      <w:lvlJc w:val="left"/>
      <w:lvlText w:val="(%1)"/>
      <w:numFmt w:val="lowerRoman"/>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3"/>
    </w:lvl>
  </w:abstractNum>
  <w:abstractNum w:abstractNumId="14">
    <w:nsid w:val="519B500D"/>
    <w:multiLevelType w:val="hybridMultilevel"/>
    <w:lvl w:ilvl="0">
      <w:lvlJc w:val="left"/>
      <w:lvlText w:val="%1."/>
      <w:numFmt w:val="decimal"/>
      <w:start w:val="4"/>
    </w:lvl>
  </w:abstractNum>
  <w:abstractNum w:abstractNumId="15">
    <w:nsid w:val="431BD7B7"/>
    <w:multiLevelType w:val="hybridMultilevel"/>
    <w:lvl w:ilvl="0">
      <w:lvlJc w:val="left"/>
      <w:lvlText w:val="%1."/>
      <w:numFmt w:val="decimal"/>
      <w:start w:val="8"/>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2021-05-04T15:27:09Z</dcterms:created>
  <dcterms:modified xsi:type="dcterms:W3CDTF">2021-05-04T15:27:09Z</dcterms:modified>
</cp:coreProperties>
</file>